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C3A2" w14:textId="540A9522" w:rsidR="000E3671" w:rsidRDefault="00C77640" w:rsidP="006604E8">
      <w:pPr>
        <w:spacing w:after="0"/>
        <w:jc w:val="center"/>
        <w:rPr>
          <w:rFonts w:ascii="Arial" w:hAnsi="Arial" w:cs="Arial"/>
          <w:b/>
          <w:bCs/>
          <w:sz w:val="24"/>
          <w:szCs w:val="24"/>
        </w:rPr>
      </w:pPr>
      <w:r w:rsidRPr="006604E8">
        <w:rPr>
          <w:rFonts w:ascii="Arial" w:hAnsi="Arial" w:cs="Arial"/>
          <w:b/>
          <w:bCs/>
          <w:sz w:val="24"/>
          <w:szCs w:val="24"/>
        </w:rPr>
        <w:t>City of Salem</w:t>
      </w:r>
    </w:p>
    <w:p w14:paraId="563D97C4" w14:textId="3508143E" w:rsidR="000E3671" w:rsidRDefault="000E3671" w:rsidP="006604E8">
      <w:pPr>
        <w:spacing w:after="0" w:line="240" w:lineRule="auto"/>
        <w:jc w:val="center"/>
        <w:rPr>
          <w:rFonts w:ascii="Arial" w:hAnsi="Arial" w:cs="Arial"/>
          <w:b/>
          <w:bCs/>
          <w:sz w:val="24"/>
          <w:szCs w:val="24"/>
        </w:rPr>
      </w:pPr>
      <w:r>
        <w:rPr>
          <w:rFonts w:ascii="Arial" w:hAnsi="Arial" w:cs="Arial"/>
          <w:b/>
          <w:bCs/>
          <w:sz w:val="24"/>
          <w:szCs w:val="24"/>
        </w:rPr>
        <w:t>Second Passage</w:t>
      </w:r>
    </w:p>
    <w:p w14:paraId="6705198B" w14:textId="2C47B6D3" w:rsidR="00BB6DC7" w:rsidRPr="006604E8" w:rsidRDefault="00BB6DC7" w:rsidP="006604E8">
      <w:pPr>
        <w:spacing w:after="0"/>
        <w:jc w:val="center"/>
        <w:rPr>
          <w:rFonts w:ascii="Arial" w:hAnsi="Arial" w:cs="Arial"/>
          <w:b/>
          <w:bCs/>
        </w:rPr>
      </w:pPr>
      <w:r w:rsidRPr="00A6744E">
        <w:rPr>
          <w:rFonts w:ascii="Arial" w:hAnsi="Arial" w:cs="Arial"/>
          <w:b/>
          <w:bCs/>
          <w:sz w:val="24"/>
          <w:szCs w:val="24"/>
        </w:rPr>
        <w:t>_______________</w:t>
      </w:r>
    </w:p>
    <w:p w14:paraId="360FDCF7" w14:textId="77777777" w:rsidR="00EF6FCE" w:rsidRDefault="00EF6FCE" w:rsidP="00EF6FCE">
      <w:pPr>
        <w:rPr>
          <w:rFonts w:ascii="Arial" w:hAnsi="Arial" w:cs="Arial"/>
        </w:rPr>
      </w:pPr>
    </w:p>
    <w:p w14:paraId="0FB09E4C" w14:textId="4F457114" w:rsidR="00BB6DC7" w:rsidRPr="006604E8" w:rsidRDefault="00EF6FCE" w:rsidP="006604E8">
      <w:pPr>
        <w:rPr>
          <w:rFonts w:ascii="Arial" w:hAnsi="Arial" w:cs="Arial"/>
        </w:rPr>
      </w:pPr>
      <w:r w:rsidRPr="006604E8">
        <w:rPr>
          <w:rFonts w:ascii="Arial" w:hAnsi="Arial" w:cs="Arial"/>
        </w:rPr>
        <w:t>The full text of the amendment is set forth below and may be examined and obtained in the office of the City Clerk, 93 Washington Street, Salem, MA.</w:t>
      </w:r>
    </w:p>
    <w:p w14:paraId="5B4DC84A" w14:textId="77777777" w:rsidR="00C77640" w:rsidRPr="006604E8" w:rsidRDefault="00C77640" w:rsidP="00C77640">
      <w:pPr>
        <w:autoSpaceDE w:val="0"/>
        <w:autoSpaceDN w:val="0"/>
        <w:adjustRightInd w:val="0"/>
        <w:rPr>
          <w:rFonts w:ascii="Arial" w:hAnsi="Arial" w:cs="Arial"/>
          <w:i/>
          <w:iCs/>
        </w:rPr>
      </w:pPr>
      <w:r w:rsidRPr="006604E8">
        <w:rPr>
          <w:rFonts w:ascii="Arial" w:hAnsi="Arial" w:cs="Arial"/>
          <w:i/>
          <w:iCs/>
        </w:rPr>
        <w:t>In the year Two Thousand and Twenty One</w:t>
      </w:r>
    </w:p>
    <w:p w14:paraId="52099C18" w14:textId="77777777" w:rsidR="00C77640" w:rsidRPr="006604E8" w:rsidRDefault="00C77640" w:rsidP="00C77640">
      <w:pPr>
        <w:rPr>
          <w:rFonts w:ascii="Arial" w:hAnsi="Arial" w:cs="Arial"/>
          <w:iCs/>
        </w:rPr>
      </w:pPr>
      <w:r w:rsidRPr="006604E8">
        <w:rPr>
          <w:rFonts w:ascii="Arial" w:hAnsi="Arial" w:cs="Arial"/>
          <w:b/>
          <w:bCs/>
          <w:iCs/>
        </w:rPr>
        <w:t>An Ordinance</w:t>
      </w:r>
      <w:r w:rsidRPr="006604E8">
        <w:rPr>
          <w:rFonts w:ascii="Arial" w:hAnsi="Arial" w:cs="Arial"/>
          <w:iCs/>
        </w:rPr>
        <w:t xml:space="preserve"> to amend an ordinance relative to accessory dwelling units.</w:t>
      </w:r>
    </w:p>
    <w:p w14:paraId="55B61D0F" w14:textId="77777777" w:rsidR="00C77640" w:rsidRPr="006604E8" w:rsidRDefault="00C77640" w:rsidP="00C77640">
      <w:pPr>
        <w:rPr>
          <w:rFonts w:ascii="Arial" w:hAnsi="Arial" w:cs="Arial"/>
          <w:iCs/>
        </w:rPr>
      </w:pPr>
      <w:r w:rsidRPr="006604E8">
        <w:rPr>
          <w:rFonts w:ascii="Arial" w:hAnsi="Arial" w:cs="Arial"/>
          <w:iCs/>
        </w:rPr>
        <w:t>Be it ordained by the City Council of the City of Salem, as follows:</w:t>
      </w:r>
    </w:p>
    <w:p w14:paraId="4685A835" w14:textId="77777777" w:rsidR="007127DB" w:rsidRPr="006604E8" w:rsidRDefault="00C77640" w:rsidP="00C77640">
      <w:pPr>
        <w:pStyle w:val="NoSpacing"/>
        <w:rPr>
          <w:rFonts w:ascii="Arial" w:hAnsi="Arial" w:cs="Arial"/>
          <w:bCs/>
        </w:rPr>
      </w:pPr>
      <w:r w:rsidRPr="006604E8">
        <w:rPr>
          <w:rFonts w:ascii="Arial" w:hAnsi="Arial" w:cs="Arial"/>
          <w:b/>
        </w:rPr>
        <w:t xml:space="preserve">Section 1. </w:t>
      </w:r>
      <w:r w:rsidRPr="006604E8">
        <w:rPr>
          <w:rFonts w:ascii="Arial" w:hAnsi="Arial" w:cs="Arial"/>
        </w:rPr>
        <w:t>The City of Salem Zoning Ordinance</w:t>
      </w:r>
      <w:r w:rsidR="007127DB" w:rsidRPr="006604E8">
        <w:rPr>
          <w:rFonts w:ascii="Arial" w:hAnsi="Arial" w:cs="Arial"/>
          <w:bCs/>
        </w:rPr>
        <w:t xml:space="preserve"> Section 3. Table of Principal and Accessory Use Regulations is hereby amended by</w:t>
      </w:r>
      <w:r w:rsidRPr="006604E8">
        <w:rPr>
          <w:rFonts w:ascii="Arial" w:hAnsi="Arial" w:cs="Arial"/>
          <w:bCs/>
        </w:rPr>
        <w:t xml:space="preserve"> deleting the use entitled Accessory </w:t>
      </w:r>
      <w:r w:rsidR="00F6585E" w:rsidRPr="006604E8">
        <w:rPr>
          <w:rFonts w:ascii="Arial" w:hAnsi="Arial" w:cs="Arial"/>
          <w:bCs/>
        </w:rPr>
        <w:t xml:space="preserve">Living </w:t>
      </w:r>
      <w:r w:rsidRPr="006604E8">
        <w:rPr>
          <w:rFonts w:ascii="Arial" w:hAnsi="Arial" w:cs="Arial"/>
          <w:bCs/>
        </w:rPr>
        <w:t>Area</w:t>
      </w:r>
      <w:r w:rsidR="007127DB" w:rsidRPr="006604E8">
        <w:rPr>
          <w:rFonts w:ascii="Arial" w:hAnsi="Arial" w:cs="Arial"/>
          <w:bCs/>
        </w:rPr>
        <w:t xml:space="preserve"> </w:t>
      </w:r>
      <w:r w:rsidRPr="006604E8">
        <w:rPr>
          <w:rFonts w:ascii="Arial" w:hAnsi="Arial" w:cs="Arial"/>
          <w:bCs/>
        </w:rPr>
        <w:t xml:space="preserve">and </w:t>
      </w:r>
      <w:r w:rsidR="007127DB" w:rsidRPr="006604E8">
        <w:rPr>
          <w:rFonts w:ascii="Arial" w:hAnsi="Arial" w:cs="Arial"/>
          <w:bCs/>
        </w:rPr>
        <w:t>adding the following new uses</w:t>
      </w:r>
      <w:r w:rsidRPr="006604E8">
        <w:rPr>
          <w:rFonts w:ascii="Arial" w:hAnsi="Arial" w:cs="Arial"/>
          <w:bCs/>
        </w:rPr>
        <w:t xml:space="preserve"> within Section E Accessory Uses</w:t>
      </w:r>
      <w:r w:rsidR="007127DB" w:rsidRPr="006604E8">
        <w:rPr>
          <w:rFonts w:ascii="Arial" w:hAnsi="Arial" w:cs="Arial"/>
          <w:bCs/>
        </w:rPr>
        <w:t>:</w:t>
      </w:r>
    </w:p>
    <w:p w14:paraId="1092D857" w14:textId="77777777" w:rsidR="007833BE" w:rsidRPr="006604E8" w:rsidRDefault="007833BE" w:rsidP="007833BE">
      <w:pPr>
        <w:pStyle w:val="NoSpacing"/>
        <w:ind w:right="720"/>
        <w:rPr>
          <w:rFonts w:ascii="Arial" w:hAnsi="Arial" w:cs="Arial"/>
          <w:bCs/>
          <w:u w:val="single"/>
        </w:rPr>
      </w:pPr>
    </w:p>
    <w:p w14:paraId="6C824856" w14:textId="77777777" w:rsidR="007833BE" w:rsidRPr="006604E8" w:rsidRDefault="007833BE" w:rsidP="007833BE">
      <w:pPr>
        <w:pStyle w:val="NoSpacing"/>
        <w:ind w:right="720"/>
        <w:rPr>
          <w:rFonts w:ascii="Arial" w:hAnsi="Arial" w:cs="Arial"/>
          <w:bCs/>
          <w:u w:val="single"/>
        </w:rPr>
      </w:pPr>
    </w:p>
    <w:tbl>
      <w:tblPr>
        <w:tblW w:w="4909" w:type="pct"/>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3028"/>
        <w:gridCol w:w="561"/>
        <w:gridCol w:w="522"/>
        <w:gridCol w:w="522"/>
        <w:gridCol w:w="522"/>
        <w:gridCol w:w="510"/>
        <w:gridCol w:w="510"/>
        <w:gridCol w:w="521"/>
        <w:gridCol w:w="510"/>
        <w:gridCol w:w="399"/>
        <w:gridCol w:w="693"/>
        <w:gridCol w:w="876"/>
      </w:tblGrid>
      <w:tr w:rsidR="006A4B5D" w:rsidRPr="00A6744E" w14:paraId="7570F20E" w14:textId="77777777" w:rsidTr="007833BE">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D1DF710" w14:textId="77777777" w:rsidR="007833BE" w:rsidRPr="006604E8" w:rsidRDefault="007833BE">
            <w:pPr>
              <w:spacing w:after="390" w:line="240" w:lineRule="auto"/>
              <w:rPr>
                <w:rFonts w:ascii="Arial" w:eastAsia="Times New Roman" w:hAnsi="Arial" w:cs="Arial"/>
                <w:bCs/>
              </w:rPr>
            </w:pPr>
            <w:r w:rsidRPr="006604E8">
              <w:rPr>
                <w:rFonts w:ascii="Arial" w:eastAsia="Times New Roman" w:hAnsi="Arial" w:cs="Arial"/>
                <w:bCs/>
              </w:rPr>
              <w:t>E. ACCESSORY USES</w:t>
            </w:r>
          </w:p>
        </w:tc>
        <w:tc>
          <w:tcPr>
            <w:tcW w:w="306"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19C0956"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RC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A1F10FE"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R1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4DBB790"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R2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C1E009C"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R3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60A065C"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B1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9A2DF45"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B2</w:t>
            </w:r>
          </w:p>
        </w:tc>
        <w:tc>
          <w:tcPr>
            <w:tcW w:w="284"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85C50F9"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B4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89B6ADA"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B5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D5EF38D"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EB25791"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BPD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AD62C5F"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NRCC</w:t>
            </w:r>
          </w:p>
        </w:tc>
      </w:tr>
      <w:tr w:rsidR="006A4B5D" w:rsidRPr="00A6744E" w14:paraId="534CE94C" w14:textId="77777777" w:rsidTr="007833BE">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902F01C" w14:textId="77777777" w:rsidR="007833BE" w:rsidRPr="006604E8" w:rsidRDefault="007833BE">
            <w:pPr>
              <w:spacing w:after="390" w:line="240" w:lineRule="auto"/>
              <w:rPr>
                <w:rFonts w:ascii="Arial" w:eastAsia="Times New Roman" w:hAnsi="Arial" w:cs="Arial"/>
                <w:bCs/>
              </w:rPr>
            </w:pPr>
            <w:r w:rsidRPr="006604E8">
              <w:rPr>
                <w:rFonts w:ascii="Arial" w:eastAsia="Times New Roman" w:hAnsi="Arial" w:cs="Arial"/>
                <w:bCs/>
              </w:rPr>
              <w:t>Affordable Accessory Dwelling Unit attached to a Principal Dwelling</w:t>
            </w:r>
            <w:r w:rsidR="006212A5" w:rsidRPr="006604E8">
              <w:rPr>
                <w:rFonts w:ascii="Arial" w:eastAsia="Times New Roman" w:hAnsi="Arial" w:cs="Arial"/>
                <w:bCs/>
              </w:rPr>
              <w:t xml:space="preserve"> </w:t>
            </w:r>
            <w:r w:rsidR="00961AF6" w:rsidRPr="006604E8">
              <w:rPr>
                <w:rFonts w:ascii="Arial" w:eastAsia="Times New Roman" w:hAnsi="Arial" w:cs="Arial"/>
                <w:bCs/>
              </w:rPr>
              <w:t>(as defined in Sec 3.2.8) or within a Principal Dwelling.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0C220BC" w14:textId="77777777" w:rsidR="007833BE" w:rsidRPr="006604E8" w:rsidRDefault="007833BE">
            <w:pPr>
              <w:spacing w:after="390" w:line="240" w:lineRule="auto"/>
              <w:jc w:val="center"/>
              <w:rPr>
                <w:rFonts w:ascii="Arial" w:eastAsia="Times New Roman" w:hAnsi="Arial" w:cs="Arial"/>
                <w:bCs/>
                <w:strike/>
              </w:rPr>
            </w:pPr>
            <w:r w:rsidRPr="006604E8">
              <w:rPr>
                <w:rFonts w:ascii="Arial" w:eastAsia="Times New Roman" w:hAnsi="Arial" w:cs="Arial"/>
                <w:bCs/>
              </w:rPr>
              <w: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26EBFD6"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DC25208"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2D1B5DB"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23A47D6"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0E295D6"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284"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F9B1C50"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C9A26A5"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0C94BE7"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571AD18"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50A32D4" w14:textId="77777777" w:rsidR="007833BE" w:rsidRPr="006604E8" w:rsidRDefault="007833BE">
            <w:pPr>
              <w:spacing w:after="390" w:line="240" w:lineRule="auto"/>
              <w:jc w:val="center"/>
              <w:rPr>
                <w:rFonts w:ascii="Arial" w:eastAsia="Times New Roman" w:hAnsi="Arial" w:cs="Arial"/>
                <w:bCs/>
              </w:rPr>
            </w:pPr>
            <w:r w:rsidRPr="006604E8">
              <w:rPr>
                <w:rFonts w:ascii="Arial" w:eastAsia="Calibri" w:hAnsi="Arial" w:cs="Arial"/>
                <w:bCs/>
              </w:rPr>
              <w:t>Y</w:t>
            </w:r>
          </w:p>
        </w:tc>
      </w:tr>
      <w:tr w:rsidR="006A4B5D" w:rsidRPr="00A6744E" w14:paraId="57C6F806" w14:textId="77777777" w:rsidTr="007833BE">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89EF33B" w14:textId="77777777" w:rsidR="007833BE" w:rsidRPr="006604E8" w:rsidRDefault="007833BE">
            <w:pPr>
              <w:spacing w:after="390" w:line="240" w:lineRule="auto"/>
              <w:rPr>
                <w:rFonts w:ascii="Arial" w:eastAsia="Times New Roman" w:hAnsi="Arial" w:cs="Arial"/>
                <w:bCs/>
              </w:rPr>
            </w:pPr>
            <w:r w:rsidRPr="006604E8">
              <w:rPr>
                <w:rFonts w:ascii="Arial" w:eastAsia="Times New Roman" w:hAnsi="Arial" w:cs="Arial"/>
                <w:bCs/>
              </w:rPr>
              <w:t>Affordable Accessory Dwelling Unit within an Existing Detached Accessory Building</w:t>
            </w:r>
            <w:r w:rsidR="0004386D" w:rsidRPr="006604E8">
              <w:rPr>
                <w:rFonts w:ascii="Arial" w:eastAsia="Times New Roman" w:hAnsi="Arial" w:cs="Arial"/>
                <w:bCs/>
              </w:rPr>
              <w:t>,</w:t>
            </w:r>
            <w:r w:rsidR="009175AB" w:rsidRPr="006604E8">
              <w:rPr>
                <w:rFonts w:ascii="Arial" w:eastAsia="Times New Roman" w:hAnsi="Arial" w:cs="Arial"/>
                <w:bCs/>
              </w:rPr>
              <w:t xml:space="preserve"> as defined in Sec 3.2.8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4E60A7C"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82CE7AD"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DC0AD44"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3C3E63D"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D649883"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73BB839"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284"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9174C5C"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DD91D3D"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D43B9BB"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A38E51D" w14:textId="77777777" w:rsidR="007833BE" w:rsidRPr="006604E8" w:rsidRDefault="007833BE">
            <w:pPr>
              <w:spacing w:after="390" w:line="240" w:lineRule="auto"/>
              <w:jc w:val="center"/>
              <w:rPr>
                <w:rFonts w:ascii="Arial" w:eastAsia="Times New Roman" w:hAnsi="Arial" w:cs="Arial"/>
                <w:bCs/>
              </w:rPr>
            </w:pPr>
            <w:r w:rsidRPr="006604E8">
              <w:rPr>
                <w:rFonts w:ascii="Arial" w:eastAsia="Times New Roman" w:hAnsi="Arial" w:cs="Arial"/>
                <w:bCs/>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3BA93DA" w14:textId="77777777" w:rsidR="007833BE" w:rsidRPr="006604E8" w:rsidRDefault="007833BE">
            <w:pPr>
              <w:spacing w:after="390" w:line="240" w:lineRule="auto"/>
              <w:jc w:val="center"/>
              <w:rPr>
                <w:rFonts w:ascii="Arial" w:eastAsia="Calibri" w:hAnsi="Arial" w:cs="Arial"/>
                <w:bCs/>
              </w:rPr>
            </w:pPr>
            <w:r w:rsidRPr="006604E8">
              <w:rPr>
                <w:rFonts w:ascii="Arial" w:eastAsia="Calibri" w:hAnsi="Arial" w:cs="Arial"/>
                <w:bCs/>
              </w:rPr>
              <w:t>Y</w:t>
            </w:r>
          </w:p>
        </w:tc>
      </w:tr>
    </w:tbl>
    <w:p w14:paraId="0725D254" w14:textId="77777777" w:rsidR="0088601E" w:rsidRPr="006604E8" w:rsidRDefault="0088601E" w:rsidP="007833BE">
      <w:pPr>
        <w:pStyle w:val="NoSpacing"/>
        <w:ind w:right="720"/>
        <w:rPr>
          <w:rFonts w:ascii="Arial" w:hAnsi="Arial" w:cs="Arial"/>
          <w:bCs/>
          <w:u w:val="single"/>
        </w:rPr>
      </w:pPr>
    </w:p>
    <w:p w14:paraId="51029351" w14:textId="77777777" w:rsidR="007833BE" w:rsidRPr="006604E8" w:rsidRDefault="007127DB" w:rsidP="007833BE">
      <w:pPr>
        <w:pStyle w:val="NoSpacing"/>
        <w:ind w:right="720"/>
        <w:rPr>
          <w:rFonts w:ascii="Arial" w:hAnsi="Arial" w:cs="Arial"/>
          <w:bCs/>
          <w:u w:val="single"/>
        </w:rPr>
      </w:pPr>
      <w:r w:rsidRPr="006604E8">
        <w:rPr>
          <w:rFonts w:ascii="Arial" w:hAnsi="Arial" w:cs="Arial"/>
          <w:b/>
          <w:bCs/>
        </w:rPr>
        <w:t>Section 2</w:t>
      </w:r>
      <w:r w:rsidRPr="006604E8">
        <w:rPr>
          <w:rFonts w:ascii="Arial" w:hAnsi="Arial" w:cs="Arial"/>
          <w:bCs/>
        </w:rPr>
        <w:t xml:space="preserve">. </w:t>
      </w:r>
      <w:r w:rsidR="007833BE" w:rsidRPr="006604E8">
        <w:rPr>
          <w:rFonts w:ascii="Arial" w:hAnsi="Arial" w:cs="Arial"/>
          <w:bCs/>
        </w:rPr>
        <w:t>Section 10</w:t>
      </w:r>
      <w:r w:rsidR="00C77640" w:rsidRPr="006604E8">
        <w:rPr>
          <w:rFonts w:ascii="Arial" w:hAnsi="Arial" w:cs="Arial"/>
          <w:bCs/>
        </w:rPr>
        <w:t xml:space="preserve"> D</w:t>
      </w:r>
      <w:r w:rsidR="007833BE" w:rsidRPr="006604E8">
        <w:rPr>
          <w:rFonts w:ascii="Arial" w:hAnsi="Arial" w:cs="Arial"/>
          <w:bCs/>
        </w:rPr>
        <w:t>efinitions is hereby amended by deleting the definition “Accessory Living Area” in its entirety and inserting the definition “Affordable Accessory Dwelling Unit” as follows:</w:t>
      </w:r>
    </w:p>
    <w:p w14:paraId="6ADA6A1B" w14:textId="77777777" w:rsidR="007127DB" w:rsidRPr="006604E8" w:rsidRDefault="007127DB" w:rsidP="007127DB">
      <w:pPr>
        <w:pStyle w:val="NoSpacing"/>
        <w:ind w:left="720"/>
        <w:rPr>
          <w:rFonts w:ascii="Arial" w:eastAsiaTheme="minorHAnsi" w:hAnsi="Arial" w:cs="Arial"/>
          <w:bCs/>
        </w:rPr>
      </w:pPr>
    </w:p>
    <w:p w14:paraId="58258C49" w14:textId="77777777" w:rsidR="007833BE" w:rsidRPr="006604E8" w:rsidRDefault="007833BE" w:rsidP="007127DB">
      <w:pPr>
        <w:pStyle w:val="NoSpacing"/>
        <w:ind w:left="720"/>
        <w:rPr>
          <w:rFonts w:ascii="Arial" w:hAnsi="Arial" w:cs="Arial"/>
          <w:bCs/>
        </w:rPr>
      </w:pPr>
      <w:r w:rsidRPr="006604E8">
        <w:rPr>
          <w:rFonts w:ascii="Arial" w:hAnsi="Arial" w:cs="Arial"/>
          <w:bCs/>
        </w:rPr>
        <w:t xml:space="preserve"> “Affordable Accessory </w:t>
      </w:r>
      <w:r w:rsidR="006824F1" w:rsidRPr="006604E8">
        <w:rPr>
          <w:rFonts w:ascii="Arial" w:hAnsi="Arial" w:cs="Arial"/>
          <w:bCs/>
        </w:rPr>
        <w:t>D</w:t>
      </w:r>
      <w:r w:rsidRPr="006604E8">
        <w:rPr>
          <w:rFonts w:ascii="Arial" w:hAnsi="Arial" w:cs="Arial"/>
          <w:bCs/>
        </w:rPr>
        <w:t xml:space="preserve">welling </w:t>
      </w:r>
      <w:r w:rsidR="006824F1" w:rsidRPr="006604E8">
        <w:rPr>
          <w:rFonts w:ascii="Arial" w:hAnsi="Arial" w:cs="Arial"/>
          <w:bCs/>
        </w:rPr>
        <w:t>U</w:t>
      </w:r>
      <w:r w:rsidRPr="006604E8">
        <w:rPr>
          <w:rFonts w:ascii="Arial" w:hAnsi="Arial" w:cs="Arial"/>
          <w:bCs/>
        </w:rPr>
        <w:t xml:space="preserve">nit: A housekeeping unit with a maximum rent at least 30 percent below the United States Department of Housing and Urban Development (HUD) fair market rent limit for Salem, with its own sleeping, cooking and sanitary facilities, located either in a detached accessory building, or within or attached to a principal dwelling and subordinate in size to the principal unit(s), separated from it in a manner which maintains the appearance of the principal unit(s), and allowed pursuant to </w:t>
      </w:r>
      <w:r w:rsidR="00C200F0" w:rsidRPr="006604E8">
        <w:rPr>
          <w:rFonts w:ascii="Arial" w:hAnsi="Arial" w:cs="Arial"/>
          <w:bCs/>
        </w:rPr>
        <w:t>Section</w:t>
      </w:r>
      <w:r w:rsidRPr="006604E8">
        <w:rPr>
          <w:rFonts w:ascii="Arial" w:hAnsi="Arial" w:cs="Arial"/>
          <w:bCs/>
        </w:rPr>
        <w:t xml:space="preserve"> 3.2.8 of this ordinance</w:t>
      </w:r>
      <w:r w:rsidR="006824F1" w:rsidRPr="006604E8">
        <w:rPr>
          <w:rFonts w:ascii="Arial" w:hAnsi="Arial" w:cs="Arial"/>
          <w:bCs/>
        </w:rPr>
        <w:t>.</w:t>
      </w:r>
      <w:r w:rsidRPr="006604E8">
        <w:rPr>
          <w:rFonts w:ascii="Arial" w:hAnsi="Arial" w:cs="Arial"/>
          <w:bCs/>
        </w:rPr>
        <w:t xml:space="preserve">” </w:t>
      </w:r>
    </w:p>
    <w:p w14:paraId="3383BDBD" w14:textId="77777777" w:rsidR="007833BE" w:rsidRPr="006604E8" w:rsidRDefault="007833BE" w:rsidP="007833BE">
      <w:pPr>
        <w:pStyle w:val="NoSpacing"/>
        <w:rPr>
          <w:rFonts w:ascii="Arial" w:hAnsi="Arial" w:cs="Arial"/>
          <w:bCs/>
        </w:rPr>
      </w:pPr>
    </w:p>
    <w:p w14:paraId="6012C0BE" w14:textId="77777777" w:rsidR="007833BE" w:rsidRPr="006604E8" w:rsidRDefault="007127DB" w:rsidP="007833BE">
      <w:pPr>
        <w:pStyle w:val="NoSpacing"/>
        <w:rPr>
          <w:rFonts w:ascii="Arial" w:hAnsi="Arial" w:cs="Arial"/>
          <w:bCs/>
        </w:rPr>
      </w:pPr>
      <w:r w:rsidRPr="006604E8">
        <w:rPr>
          <w:rFonts w:ascii="Arial" w:hAnsi="Arial" w:cs="Arial"/>
          <w:b/>
          <w:bCs/>
        </w:rPr>
        <w:lastRenderedPageBreak/>
        <w:t>Section 3.</w:t>
      </w:r>
      <w:r w:rsidRPr="006604E8">
        <w:rPr>
          <w:rFonts w:ascii="Arial" w:hAnsi="Arial" w:cs="Arial"/>
          <w:bCs/>
        </w:rPr>
        <w:t xml:space="preserve"> </w:t>
      </w:r>
      <w:r w:rsidR="007833BE" w:rsidRPr="006604E8">
        <w:rPr>
          <w:rFonts w:ascii="Arial" w:hAnsi="Arial" w:cs="Arial"/>
          <w:bCs/>
        </w:rPr>
        <w:t xml:space="preserve"> Section 3.2.4 Accessory Buildings and Structures is hereby amended by deleting paragraph 4 </w:t>
      </w:r>
      <w:r w:rsidRPr="006604E8">
        <w:rPr>
          <w:rFonts w:ascii="Arial" w:hAnsi="Arial" w:cs="Arial"/>
          <w:bCs/>
        </w:rPr>
        <w:t xml:space="preserve">in its entirely and </w:t>
      </w:r>
      <w:r w:rsidR="007833BE" w:rsidRPr="006604E8">
        <w:rPr>
          <w:rFonts w:ascii="Arial" w:hAnsi="Arial" w:cs="Arial"/>
          <w:bCs/>
        </w:rPr>
        <w:t>replacing it with the following</w:t>
      </w:r>
      <w:r w:rsidRPr="006604E8">
        <w:rPr>
          <w:rFonts w:ascii="Arial" w:hAnsi="Arial" w:cs="Arial"/>
          <w:bCs/>
        </w:rPr>
        <w:t xml:space="preserve"> new </w:t>
      </w:r>
      <w:r w:rsidR="007833BE" w:rsidRPr="006604E8">
        <w:rPr>
          <w:rFonts w:ascii="Arial" w:hAnsi="Arial" w:cs="Arial"/>
          <w:bCs/>
        </w:rPr>
        <w:t xml:space="preserve">paragraphs </w:t>
      </w:r>
      <w:r w:rsidRPr="006604E8">
        <w:rPr>
          <w:rFonts w:ascii="Arial" w:hAnsi="Arial" w:cs="Arial"/>
          <w:bCs/>
        </w:rPr>
        <w:t xml:space="preserve">4, </w:t>
      </w:r>
      <w:r w:rsidR="007833BE" w:rsidRPr="006604E8">
        <w:rPr>
          <w:rFonts w:ascii="Arial" w:hAnsi="Arial" w:cs="Arial"/>
          <w:bCs/>
        </w:rPr>
        <w:t>5 and 6 as follows</w:t>
      </w:r>
      <w:r w:rsidRPr="006604E8">
        <w:rPr>
          <w:rFonts w:ascii="Arial" w:hAnsi="Arial" w:cs="Arial"/>
          <w:bCs/>
        </w:rPr>
        <w:t>:</w:t>
      </w:r>
    </w:p>
    <w:p w14:paraId="4A7924FF" w14:textId="77777777" w:rsidR="007833BE" w:rsidRPr="006604E8" w:rsidRDefault="007833BE" w:rsidP="007833BE">
      <w:pPr>
        <w:pStyle w:val="NoSpacing"/>
        <w:rPr>
          <w:rFonts w:ascii="Arial" w:hAnsi="Arial" w:cs="Arial"/>
          <w:bCs/>
        </w:rPr>
      </w:pPr>
    </w:p>
    <w:p w14:paraId="248D1AAA" w14:textId="77777777" w:rsidR="007833BE" w:rsidRPr="006604E8" w:rsidRDefault="007127DB" w:rsidP="007127DB">
      <w:pPr>
        <w:pStyle w:val="NoSpacing"/>
        <w:ind w:left="720"/>
        <w:rPr>
          <w:rFonts w:ascii="Arial" w:hAnsi="Arial" w:cs="Arial"/>
          <w:bCs/>
        </w:rPr>
      </w:pPr>
      <w:r w:rsidRPr="006604E8">
        <w:rPr>
          <w:rFonts w:ascii="Arial" w:hAnsi="Arial" w:cs="Arial"/>
          <w:bCs/>
        </w:rPr>
        <w:t>“</w:t>
      </w:r>
      <w:r w:rsidR="007833BE" w:rsidRPr="006604E8">
        <w:rPr>
          <w:rFonts w:ascii="Arial" w:hAnsi="Arial" w:cs="Arial"/>
          <w:bCs/>
        </w:rPr>
        <w:t>4. Accessory structures, garages and detached affordable accessory dwelling units shall not exceed</w:t>
      </w:r>
      <w:r w:rsidR="006B61AC" w:rsidRPr="006604E8">
        <w:rPr>
          <w:rFonts w:ascii="Arial" w:hAnsi="Arial" w:cs="Arial"/>
          <w:bCs/>
        </w:rPr>
        <w:t xml:space="preserve"> one and</w:t>
      </w:r>
      <w:r w:rsidR="007833BE" w:rsidRPr="006604E8">
        <w:rPr>
          <w:rFonts w:ascii="Arial" w:hAnsi="Arial" w:cs="Arial"/>
          <w:bCs/>
        </w:rPr>
        <w:t xml:space="preserve"> one-half (1.5) stories o</w:t>
      </w:r>
      <w:r w:rsidRPr="006604E8">
        <w:rPr>
          <w:rFonts w:ascii="Arial" w:hAnsi="Arial" w:cs="Arial"/>
          <w:bCs/>
        </w:rPr>
        <w:t>r eighteen (18) feet in height.</w:t>
      </w:r>
    </w:p>
    <w:p w14:paraId="54449EEF" w14:textId="77777777" w:rsidR="007833BE" w:rsidRPr="006604E8" w:rsidRDefault="007833BE" w:rsidP="007127DB">
      <w:pPr>
        <w:pStyle w:val="NoSpacing"/>
        <w:ind w:left="720"/>
        <w:rPr>
          <w:rFonts w:ascii="Arial" w:hAnsi="Arial" w:cs="Arial"/>
          <w:bCs/>
        </w:rPr>
      </w:pPr>
    </w:p>
    <w:p w14:paraId="679212FC" w14:textId="77777777" w:rsidR="007833BE" w:rsidRPr="006604E8" w:rsidRDefault="007833BE" w:rsidP="007127DB">
      <w:pPr>
        <w:pStyle w:val="NoSpacing"/>
        <w:ind w:left="720"/>
        <w:rPr>
          <w:rFonts w:ascii="Arial" w:hAnsi="Arial" w:cs="Arial"/>
          <w:bCs/>
        </w:rPr>
      </w:pPr>
      <w:r w:rsidRPr="006604E8">
        <w:rPr>
          <w:rFonts w:ascii="Arial" w:hAnsi="Arial" w:cs="Arial"/>
          <w:bCs/>
        </w:rPr>
        <w:t>5. Detached affordable accessory dwelling units shall comply with all regulations set forth in Section 3.2.4 (Accessory Buildings and Structures) of this Ordinance with the exception of setbacks</w:t>
      </w:r>
      <w:r w:rsidR="00F923DC" w:rsidRPr="006604E8">
        <w:rPr>
          <w:rFonts w:ascii="Arial" w:hAnsi="Arial" w:cs="Arial"/>
          <w:bCs/>
        </w:rPr>
        <w:t>, which shall comply with Section 3.2.4(6).</w:t>
      </w:r>
      <w:r w:rsidR="00DD47A5" w:rsidRPr="006604E8">
        <w:rPr>
          <w:rFonts w:ascii="Arial" w:hAnsi="Arial" w:cs="Arial"/>
          <w:bCs/>
        </w:rPr>
        <w:t xml:space="preserve"> </w:t>
      </w:r>
    </w:p>
    <w:p w14:paraId="69EF376B" w14:textId="77777777" w:rsidR="007833BE" w:rsidRPr="006604E8" w:rsidRDefault="007833BE" w:rsidP="007127DB">
      <w:pPr>
        <w:pStyle w:val="NoSpacing"/>
        <w:ind w:left="720"/>
        <w:rPr>
          <w:rFonts w:ascii="Arial" w:hAnsi="Arial" w:cs="Arial"/>
          <w:bCs/>
        </w:rPr>
      </w:pPr>
    </w:p>
    <w:p w14:paraId="192DF6F7" w14:textId="77777777" w:rsidR="007833BE" w:rsidRPr="006604E8" w:rsidRDefault="007833BE" w:rsidP="0045675C">
      <w:pPr>
        <w:pStyle w:val="NoSpacing"/>
        <w:ind w:left="720"/>
        <w:rPr>
          <w:rFonts w:ascii="Arial" w:hAnsi="Arial" w:cs="Arial"/>
          <w:bCs/>
        </w:rPr>
      </w:pPr>
      <w:r w:rsidRPr="006604E8">
        <w:rPr>
          <w:rFonts w:ascii="Arial" w:hAnsi="Arial" w:cs="Arial"/>
          <w:bCs/>
        </w:rPr>
        <w:t>6. Detached affordable accessory dwelling units shall comply with all setbacks of the principal structure, as set forth in Section 4.1 of this ordinance (Dimensional Requirements), irrespective of whether the principal structure on the property in question complies with such setbacks or not</w:t>
      </w:r>
      <w:r w:rsidR="00F30138" w:rsidRPr="006604E8">
        <w:rPr>
          <w:rFonts w:ascii="Arial" w:hAnsi="Arial" w:cs="Arial"/>
          <w:bCs/>
        </w:rPr>
        <w:t>, unless other</w:t>
      </w:r>
      <w:r w:rsidR="0045675C" w:rsidRPr="006604E8">
        <w:rPr>
          <w:rFonts w:ascii="Arial" w:hAnsi="Arial" w:cs="Arial"/>
          <w:bCs/>
        </w:rPr>
        <w:t xml:space="preserve">wise permitted by a Special Permit pursuant to subsection </w:t>
      </w:r>
      <w:r w:rsidR="00D02400" w:rsidRPr="006604E8">
        <w:rPr>
          <w:rFonts w:ascii="Arial" w:hAnsi="Arial" w:cs="Arial"/>
          <w:bCs/>
        </w:rPr>
        <w:t>3</w:t>
      </w:r>
      <w:r w:rsidR="0045675C" w:rsidRPr="006604E8">
        <w:rPr>
          <w:rFonts w:ascii="Arial" w:hAnsi="Arial" w:cs="Arial"/>
          <w:bCs/>
        </w:rPr>
        <w:t xml:space="preserve"> of </w:t>
      </w:r>
      <w:r w:rsidR="00DF797A" w:rsidRPr="006604E8">
        <w:rPr>
          <w:rFonts w:ascii="Arial" w:hAnsi="Arial" w:cs="Arial"/>
          <w:bCs/>
        </w:rPr>
        <w:t>Section 3.2.8</w:t>
      </w:r>
      <w:r w:rsidRPr="006604E8">
        <w:rPr>
          <w:rFonts w:ascii="Arial" w:hAnsi="Arial" w:cs="Arial"/>
          <w:bCs/>
        </w:rPr>
        <w:t>.</w:t>
      </w:r>
      <w:r w:rsidR="00204376" w:rsidRPr="006604E8">
        <w:rPr>
          <w:rFonts w:ascii="Arial" w:hAnsi="Arial" w:cs="Arial"/>
          <w:bCs/>
        </w:rPr>
        <w:t>”</w:t>
      </w:r>
    </w:p>
    <w:p w14:paraId="13681536" w14:textId="77777777" w:rsidR="007833BE" w:rsidRPr="006604E8" w:rsidRDefault="007833BE" w:rsidP="007833BE">
      <w:pPr>
        <w:pStyle w:val="NoSpacing"/>
        <w:ind w:left="720"/>
        <w:rPr>
          <w:rFonts w:ascii="Arial" w:hAnsi="Arial" w:cs="Arial"/>
          <w:bCs/>
        </w:rPr>
      </w:pPr>
    </w:p>
    <w:p w14:paraId="1B0263EE" w14:textId="77777777" w:rsidR="007833BE" w:rsidRPr="006604E8" w:rsidRDefault="007127DB" w:rsidP="007833BE">
      <w:pPr>
        <w:rPr>
          <w:rFonts w:ascii="Arial" w:hAnsi="Arial" w:cs="Arial"/>
          <w:bCs/>
        </w:rPr>
      </w:pPr>
      <w:r w:rsidRPr="006604E8">
        <w:rPr>
          <w:rFonts w:ascii="Arial" w:hAnsi="Arial" w:cs="Arial"/>
          <w:b/>
          <w:bCs/>
        </w:rPr>
        <w:t>Section 4.</w:t>
      </w:r>
      <w:r w:rsidRPr="006604E8">
        <w:rPr>
          <w:rFonts w:ascii="Arial" w:hAnsi="Arial" w:cs="Arial"/>
          <w:bCs/>
        </w:rPr>
        <w:t xml:space="preserve"> </w:t>
      </w:r>
      <w:r w:rsidR="007833BE" w:rsidRPr="006604E8">
        <w:rPr>
          <w:rFonts w:ascii="Arial" w:eastAsia="Times New Roman" w:hAnsi="Arial" w:cs="Arial"/>
          <w:bCs/>
        </w:rPr>
        <w:t>Section 3.2.8 Accessory Dwelling Areas is hereby amended by deleting Section</w:t>
      </w:r>
      <w:r w:rsidRPr="006604E8">
        <w:rPr>
          <w:rFonts w:ascii="Arial" w:eastAsia="Times New Roman" w:hAnsi="Arial" w:cs="Arial"/>
          <w:bCs/>
        </w:rPr>
        <w:t xml:space="preserve"> 3.2.8</w:t>
      </w:r>
      <w:r w:rsidR="007833BE" w:rsidRPr="006604E8">
        <w:rPr>
          <w:rFonts w:ascii="Arial" w:eastAsia="Times New Roman" w:hAnsi="Arial" w:cs="Arial"/>
          <w:bCs/>
        </w:rPr>
        <w:t xml:space="preserve"> in its entirety and replacing it with the following:</w:t>
      </w:r>
    </w:p>
    <w:p w14:paraId="45C0547D" w14:textId="77777777" w:rsidR="007833BE" w:rsidRPr="006604E8" w:rsidRDefault="007833BE" w:rsidP="007833BE">
      <w:pPr>
        <w:pStyle w:val="b0"/>
        <w:rPr>
          <w:bCs/>
          <w:sz w:val="22"/>
          <w:szCs w:val="22"/>
        </w:rPr>
      </w:pPr>
      <w:r w:rsidRPr="006604E8">
        <w:rPr>
          <w:bCs/>
          <w:sz w:val="22"/>
          <w:szCs w:val="22"/>
        </w:rPr>
        <w:t xml:space="preserve">“3.2.8 Affordable Accessory Dwelling Units. Affordable Accessory Dwelling Units shall be allowed as provided set forth in this section. </w:t>
      </w:r>
    </w:p>
    <w:p w14:paraId="7E760DA2" w14:textId="77777777" w:rsidR="007833BE" w:rsidRPr="006604E8" w:rsidRDefault="007833BE" w:rsidP="007833BE">
      <w:pPr>
        <w:pStyle w:val="b1"/>
        <w:numPr>
          <w:ilvl w:val="0"/>
          <w:numId w:val="2"/>
        </w:numPr>
        <w:ind w:left="450"/>
        <w:rPr>
          <w:bCs/>
          <w:sz w:val="22"/>
          <w:szCs w:val="22"/>
        </w:rPr>
      </w:pPr>
      <w:r w:rsidRPr="006604E8">
        <w:rPr>
          <w:bCs/>
          <w:sz w:val="22"/>
          <w:szCs w:val="22"/>
        </w:rPr>
        <w:t> </w:t>
      </w:r>
      <w:r w:rsidRPr="006604E8">
        <w:rPr>
          <w:bCs/>
          <w:sz w:val="22"/>
          <w:szCs w:val="22"/>
        </w:rPr>
        <w:t xml:space="preserve">Purpose. </w:t>
      </w:r>
    </w:p>
    <w:p w14:paraId="11F5F1F8" w14:textId="77777777" w:rsidR="007833BE" w:rsidRPr="006604E8" w:rsidRDefault="007833BE" w:rsidP="007833BE">
      <w:pPr>
        <w:pStyle w:val="List2"/>
        <w:numPr>
          <w:ilvl w:val="0"/>
          <w:numId w:val="3"/>
        </w:numPr>
        <w:ind w:left="1710"/>
        <w:rPr>
          <w:bCs/>
          <w:sz w:val="22"/>
          <w:szCs w:val="22"/>
        </w:rPr>
      </w:pPr>
      <w:r w:rsidRPr="006604E8">
        <w:rPr>
          <w:bCs/>
          <w:sz w:val="22"/>
          <w:szCs w:val="22"/>
        </w:rPr>
        <w:t>To add affordable rental units to the housing stock to meet the needs of smaller households and make housing units available to households who might otherwise have difficulty finding housing.</w:t>
      </w:r>
    </w:p>
    <w:p w14:paraId="23508326" w14:textId="77777777" w:rsidR="007833BE" w:rsidRPr="006604E8" w:rsidRDefault="007833BE" w:rsidP="007833BE">
      <w:pPr>
        <w:pStyle w:val="List2"/>
        <w:numPr>
          <w:ilvl w:val="0"/>
          <w:numId w:val="3"/>
        </w:numPr>
        <w:ind w:left="1710"/>
        <w:rPr>
          <w:bCs/>
          <w:sz w:val="22"/>
          <w:szCs w:val="22"/>
        </w:rPr>
      </w:pPr>
      <w:r w:rsidRPr="006604E8">
        <w:rPr>
          <w:bCs/>
          <w:sz w:val="22"/>
          <w:szCs w:val="22"/>
        </w:rPr>
        <w:t xml:space="preserve">To encourage the efficient use of the city's housing supply while preserving the character of the city's neighborhoods. </w:t>
      </w:r>
    </w:p>
    <w:p w14:paraId="62C40A4A" w14:textId="77777777" w:rsidR="007833BE" w:rsidRPr="006604E8" w:rsidRDefault="007833BE" w:rsidP="007833BE">
      <w:pPr>
        <w:pStyle w:val="List2"/>
        <w:numPr>
          <w:ilvl w:val="0"/>
          <w:numId w:val="3"/>
        </w:numPr>
        <w:ind w:left="1710"/>
        <w:rPr>
          <w:bCs/>
          <w:sz w:val="22"/>
          <w:szCs w:val="22"/>
        </w:rPr>
      </w:pPr>
      <w:r w:rsidRPr="006604E8">
        <w:rPr>
          <w:bCs/>
          <w:sz w:val="22"/>
          <w:szCs w:val="22"/>
        </w:rPr>
        <w:t xml:space="preserve">To maximize privacy, dignity, and independent living among family members preserving domestic family bonds as well as to protect the stability, property values, and the residential character of the neighborhood. </w:t>
      </w:r>
    </w:p>
    <w:p w14:paraId="15CBAFA6" w14:textId="77777777" w:rsidR="007833BE" w:rsidRPr="006604E8" w:rsidRDefault="007833BE" w:rsidP="007833BE">
      <w:pPr>
        <w:pStyle w:val="List2"/>
        <w:numPr>
          <w:ilvl w:val="0"/>
          <w:numId w:val="3"/>
        </w:numPr>
        <w:ind w:left="1710"/>
        <w:rPr>
          <w:bCs/>
          <w:sz w:val="22"/>
          <w:szCs w:val="22"/>
        </w:rPr>
      </w:pPr>
      <w:r w:rsidRPr="006604E8">
        <w:rPr>
          <w:bCs/>
          <w:sz w:val="22"/>
          <w:szCs w:val="22"/>
        </w:rPr>
        <w:t xml:space="preserve">To permit the owner of an existing, or a proposed, principal dwelling to construct one additional affordable dwelling unit per </w:t>
      </w:r>
      <w:r w:rsidR="001A2ACA" w:rsidRPr="006604E8">
        <w:rPr>
          <w:bCs/>
          <w:sz w:val="22"/>
          <w:szCs w:val="22"/>
        </w:rPr>
        <w:t>principal dwelling</w:t>
      </w:r>
      <w:r w:rsidRPr="006604E8">
        <w:rPr>
          <w:bCs/>
          <w:sz w:val="22"/>
          <w:szCs w:val="22"/>
        </w:rPr>
        <w:t xml:space="preserve">. Such a use is incidental and subordinate </w:t>
      </w:r>
      <w:r w:rsidR="001A2ACA" w:rsidRPr="006604E8">
        <w:rPr>
          <w:bCs/>
          <w:sz w:val="22"/>
          <w:szCs w:val="22"/>
        </w:rPr>
        <w:t xml:space="preserve">in size </w:t>
      </w:r>
      <w:r w:rsidRPr="006604E8">
        <w:rPr>
          <w:bCs/>
          <w:sz w:val="22"/>
          <w:szCs w:val="22"/>
        </w:rPr>
        <w:t xml:space="preserve">to the principal dwelling. </w:t>
      </w:r>
    </w:p>
    <w:p w14:paraId="421E22F6" w14:textId="77777777" w:rsidR="007833BE" w:rsidRPr="006604E8" w:rsidRDefault="007833BE" w:rsidP="007833BE">
      <w:pPr>
        <w:pStyle w:val="List2"/>
        <w:numPr>
          <w:ilvl w:val="0"/>
          <w:numId w:val="3"/>
        </w:numPr>
        <w:ind w:left="1710"/>
        <w:rPr>
          <w:bCs/>
          <w:sz w:val="22"/>
          <w:szCs w:val="22"/>
        </w:rPr>
      </w:pPr>
      <w:r w:rsidRPr="006604E8">
        <w:rPr>
          <w:bCs/>
          <w:sz w:val="22"/>
          <w:szCs w:val="22"/>
        </w:rPr>
        <w:t>To increase the supply of housing and the diversity of housing options, in response to demographic changes such as smaller households and older households.</w:t>
      </w:r>
    </w:p>
    <w:p w14:paraId="192FFEED" w14:textId="77777777" w:rsidR="007833BE" w:rsidRPr="006604E8" w:rsidRDefault="007833BE" w:rsidP="007833BE">
      <w:pPr>
        <w:pStyle w:val="b1"/>
        <w:numPr>
          <w:ilvl w:val="0"/>
          <w:numId w:val="2"/>
        </w:numPr>
        <w:ind w:left="450"/>
        <w:rPr>
          <w:bCs/>
          <w:sz w:val="22"/>
          <w:szCs w:val="22"/>
        </w:rPr>
      </w:pPr>
      <w:r w:rsidRPr="006604E8">
        <w:rPr>
          <w:bCs/>
          <w:sz w:val="22"/>
          <w:szCs w:val="22"/>
        </w:rPr>
        <w:t xml:space="preserve">Procedure. </w:t>
      </w:r>
    </w:p>
    <w:p w14:paraId="61538F7B" w14:textId="77777777" w:rsidR="007833BE" w:rsidRPr="006604E8" w:rsidRDefault="007833BE" w:rsidP="007833BE">
      <w:pPr>
        <w:pStyle w:val="list1"/>
        <w:numPr>
          <w:ilvl w:val="0"/>
          <w:numId w:val="4"/>
        </w:numPr>
        <w:ind w:left="1620" w:hanging="450"/>
        <w:rPr>
          <w:bCs/>
          <w:sz w:val="22"/>
          <w:szCs w:val="22"/>
        </w:rPr>
      </w:pPr>
      <w:r w:rsidRPr="006604E8">
        <w:rPr>
          <w:bCs/>
          <w:sz w:val="22"/>
          <w:szCs w:val="22"/>
        </w:rPr>
        <w:t xml:space="preserve">The Building Inspector shall administer and enforce the provisions of this section. </w:t>
      </w:r>
    </w:p>
    <w:p w14:paraId="5DB4432A" w14:textId="77777777" w:rsidR="009B080C" w:rsidRPr="006604E8" w:rsidRDefault="00943470" w:rsidP="00943470">
      <w:pPr>
        <w:pStyle w:val="b1"/>
        <w:numPr>
          <w:ilvl w:val="0"/>
          <w:numId w:val="2"/>
        </w:numPr>
        <w:ind w:left="450"/>
        <w:rPr>
          <w:bCs/>
          <w:sz w:val="22"/>
          <w:szCs w:val="22"/>
        </w:rPr>
      </w:pPr>
      <w:r w:rsidRPr="006604E8">
        <w:rPr>
          <w:bCs/>
          <w:sz w:val="22"/>
          <w:szCs w:val="22"/>
        </w:rPr>
        <w:t xml:space="preserve">Special Permit. </w:t>
      </w:r>
      <w:r w:rsidR="009B080C" w:rsidRPr="006604E8">
        <w:rPr>
          <w:bCs/>
          <w:sz w:val="22"/>
          <w:szCs w:val="22"/>
        </w:rPr>
        <w:t>Pursuant to Section 9.4</w:t>
      </w:r>
      <w:r w:rsidR="00345C18" w:rsidRPr="006604E8">
        <w:rPr>
          <w:bCs/>
          <w:sz w:val="22"/>
          <w:szCs w:val="22"/>
        </w:rPr>
        <w:t>,</w:t>
      </w:r>
      <w:r w:rsidR="009B080C" w:rsidRPr="006604E8">
        <w:rPr>
          <w:bCs/>
          <w:sz w:val="22"/>
          <w:szCs w:val="22"/>
        </w:rPr>
        <w:t xml:space="preserve"> in the interests of design flexibility and </w:t>
      </w:r>
      <w:r w:rsidR="005121F5" w:rsidRPr="006604E8">
        <w:rPr>
          <w:bCs/>
          <w:sz w:val="22"/>
          <w:szCs w:val="22"/>
        </w:rPr>
        <w:t>overall</w:t>
      </w:r>
      <w:r w:rsidR="009B080C" w:rsidRPr="006604E8">
        <w:rPr>
          <w:bCs/>
          <w:sz w:val="22"/>
          <w:szCs w:val="22"/>
        </w:rPr>
        <w:t xml:space="preserve"> project quality, the Zoning Board of Appeals may grant a Special Permit for the following:</w:t>
      </w:r>
    </w:p>
    <w:p w14:paraId="67818828" w14:textId="77777777" w:rsidR="009B080C" w:rsidRPr="006604E8" w:rsidRDefault="009B080C" w:rsidP="00345C18">
      <w:pPr>
        <w:pStyle w:val="b1"/>
        <w:numPr>
          <w:ilvl w:val="1"/>
          <w:numId w:val="2"/>
        </w:numPr>
        <w:ind w:left="1530"/>
        <w:rPr>
          <w:bCs/>
          <w:sz w:val="22"/>
          <w:szCs w:val="22"/>
        </w:rPr>
      </w:pPr>
      <w:r w:rsidRPr="006604E8">
        <w:rPr>
          <w:bCs/>
          <w:sz w:val="22"/>
          <w:szCs w:val="22"/>
        </w:rPr>
        <w:t>An existing detached accessory building as defined in subsection 8 of Section 3.2.8 that is not in compliance with the setbacks of the principal dwelling unit</w:t>
      </w:r>
      <w:r w:rsidR="005121F5" w:rsidRPr="006604E8">
        <w:rPr>
          <w:bCs/>
          <w:sz w:val="22"/>
          <w:szCs w:val="22"/>
        </w:rPr>
        <w:t>.</w:t>
      </w:r>
    </w:p>
    <w:p w14:paraId="6F5167EE" w14:textId="77777777" w:rsidR="00943470" w:rsidRPr="006604E8" w:rsidRDefault="009B080C" w:rsidP="00345C18">
      <w:pPr>
        <w:pStyle w:val="b1"/>
        <w:numPr>
          <w:ilvl w:val="1"/>
          <w:numId w:val="2"/>
        </w:numPr>
        <w:ind w:left="1530"/>
        <w:rPr>
          <w:bCs/>
          <w:sz w:val="22"/>
          <w:szCs w:val="22"/>
        </w:rPr>
      </w:pPr>
      <w:r w:rsidRPr="006604E8">
        <w:rPr>
          <w:bCs/>
          <w:sz w:val="22"/>
          <w:szCs w:val="22"/>
        </w:rPr>
        <w:lastRenderedPageBreak/>
        <w:t>An expanded detached accessory building as defined in subsection 8 of Section 3.2.8.</w:t>
      </w:r>
      <w:r w:rsidRPr="006604E8" w:rsidDel="009B080C">
        <w:rPr>
          <w:bCs/>
          <w:sz w:val="22"/>
          <w:szCs w:val="22"/>
        </w:rPr>
        <w:t xml:space="preserve"> </w:t>
      </w:r>
    </w:p>
    <w:p w14:paraId="210D09E7" w14:textId="77777777" w:rsidR="00D02400" w:rsidRPr="006604E8" w:rsidRDefault="00D02400" w:rsidP="00D02400">
      <w:pPr>
        <w:spacing w:after="0"/>
        <w:rPr>
          <w:rFonts w:ascii="Arial" w:hAnsi="Arial" w:cs="Arial"/>
        </w:rPr>
      </w:pPr>
    </w:p>
    <w:p w14:paraId="0C41A0E3" w14:textId="77777777" w:rsidR="007833BE" w:rsidRPr="006604E8" w:rsidRDefault="007833BE" w:rsidP="007833BE">
      <w:pPr>
        <w:pStyle w:val="b1"/>
        <w:numPr>
          <w:ilvl w:val="0"/>
          <w:numId w:val="2"/>
        </w:numPr>
        <w:ind w:left="450"/>
        <w:rPr>
          <w:bCs/>
          <w:sz w:val="22"/>
          <w:szCs w:val="22"/>
        </w:rPr>
      </w:pPr>
      <w:r w:rsidRPr="006604E8">
        <w:rPr>
          <w:bCs/>
          <w:sz w:val="22"/>
          <w:szCs w:val="22"/>
        </w:rPr>
        <w:t>Application.</w:t>
      </w:r>
    </w:p>
    <w:p w14:paraId="4CC5E042" w14:textId="77777777" w:rsidR="007833BE" w:rsidRPr="006604E8" w:rsidRDefault="007833BE" w:rsidP="007833BE">
      <w:pPr>
        <w:pStyle w:val="list1"/>
        <w:numPr>
          <w:ilvl w:val="0"/>
          <w:numId w:val="5"/>
        </w:numPr>
        <w:rPr>
          <w:bCs/>
          <w:sz w:val="22"/>
          <w:szCs w:val="22"/>
        </w:rPr>
      </w:pPr>
      <w:r w:rsidRPr="006604E8">
        <w:rPr>
          <w:bCs/>
          <w:sz w:val="22"/>
          <w:szCs w:val="22"/>
        </w:rPr>
        <w:t xml:space="preserve">The Application for the Building Permit, shall: </w:t>
      </w:r>
    </w:p>
    <w:p w14:paraId="5E391BDE" w14:textId="77777777" w:rsidR="007833BE" w:rsidRPr="006604E8" w:rsidRDefault="007833BE" w:rsidP="007833BE">
      <w:pPr>
        <w:pStyle w:val="List2"/>
        <w:numPr>
          <w:ilvl w:val="0"/>
          <w:numId w:val="6"/>
        </w:numPr>
        <w:ind w:left="1980"/>
        <w:rPr>
          <w:bCs/>
          <w:sz w:val="22"/>
          <w:szCs w:val="22"/>
        </w:rPr>
      </w:pPr>
      <w:r w:rsidRPr="006604E8">
        <w:rPr>
          <w:bCs/>
          <w:sz w:val="22"/>
          <w:szCs w:val="22"/>
        </w:rPr>
        <w:t xml:space="preserve">Be signed by one hundred (100) percent of the record title ownership interest of the principal dwelling and shall include a copy of the deed and in the case of a property held by a condominium trust, all owners of all units within the condominium. </w:t>
      </w:r>
    </w:p>
    <w:p w14:paraId="4FEEEFF6" w14:textId="77777777" w:rsidR="007833BE" w:rsidRPr="006604E8" w:rsidRDefault="007833BE" w:rsidP="007833BE">
      <w:pPr>
        <w:pStyle w:val="List2"/>
        <w:numPr>
          <w:ilvl w:val="0"/>
          <w:numId w:val="6"/>
        </w:numPr>
        <w:ind w:left="1980"/>
        <w:rPr>
          <w:bCs/>
          <w:sz w:val="22"/>
          <w:szCs w:val="22"/>
        </w:rPr>
      </w:pPr>
      <w:r w:rsidRPr="006604E8">
        <w:rPr>
          <w:bCs/>
          <w:sz w:val="22"/>
          <w:szCs w:val="22"/>
        </w:rPr>
        <w:t xml:space="preserve">Include a floor plan of the affordable accessory dwelling unit, the principal dwelling where it is to be located and all elevations. All plans shall be drawn to scale and identify the existing structure and proposed modifications to create the affordable accessory dwelling unit. </w:t>
      </w:r>
    </w:p>
    <w:p w14:paraId="1C7881D1" w14:textId="77777777" w:rsidR="007833BE" w:rsidRPr="006604E8" w:rsidRDefault="006B61AC" w:rsidP="007833BE">
      <w:pPr>
        <w:pStyle w:val="List2"/>
        <w:numPr>
          <w:ilvl w:val="0"/>
          <w:numId w:val="6"/>
        </w:numPr>
        <w:ind w:left="1980"/>
        <w:rPr>
          <w:bCs/>
          <w:sz w:val="22"/>
          <w:szCs w:val="22"/>
        </w:rPr>
      </w:pPr>
      <w:r w:rsidRPr="006604E8">
        <w:rPr>
          <w:bCs/>
          <w:sz w:val="22"/>
          <w:szCs w:val="22"/>
        </w:rPr>
        <w:t>Be accompanied by a</w:t>
      </w:r>
      <w:r w:rsidR="007833BE" w:rsidRPr="006604E8">
        <w:rPr>
          <w:bCs/>
          <w:sz w:val="22"/>
          <w:szCs w:val="22"/>
        </w:rPr>
        <w:t xml:space="preserve"> letter of intent signed by the homeowner(s) </w:t>
      </w:r>
      <w:r w:rsidRPr="006604E8">
        <w:rPr>
          <w:bCs/>
          <w:sz w:val="22"/>
          <w:szCs w:val="22"/>
        </w:rPr>
        <w:t xml:space="preserve">and </w:t>
      </w:r>
      <w:r w:rsidR="007833BE" w:rsidRPr="006604E8">
        <w:rPr>
          <w:bCs/>
          <w:sz w:val="22"/>
          <w:szCs w:val="22"/>
        </w:rPr>
        <w:t xml:space="preserve">shall be submitted to the Department of Planning and Community Development that certifies the rent of the </w:t>
      </w:r>
      <w:r w:rsidR="005A200E" w:rsidRPr="006604E8">
        <w:rPr>
          <w:bCs/>
          <w:sz w:val="22"/>
          <w:szCs w:val="22"/>
        </w:rPr>
        <w:t xml:space="preserve">affordable </w:t>
      </w:r>
      <w:r w:rsidR="007833BE" w:rsidRPr="006604E8">
        <w:rPr>
          <w:bCs/>
          <w:sz w:val="22"/>
          <w:szCs w:val="22"/>
        </w:rPr>
        <w:t xml:space="preserve">accessory dwelling unit will be at least 30 percent below the established fair market rent limit determined by the United States Department of Housing and Urban Development. </w:t>
      </w:r>
    </w:p>
    <w:p w14:paraId="5618F369" w14:textId="77777777" w:rsidR="007833BE" w:rsidRPr="006604E8" w:rsidRDefault="007833BE" w:rsidP="007833BE">
      <w:pPr>
        <w:pStyle w:val="List2"/>
        <w:numPr>
          <w:ilvl w:val="0"/>
          <w:numId w:val="2"/>
        </w:numPr>
        <w:ind w:left="450"/>
        <w:rPr>
          <w:bCs/>
          <w:sz w:val="22"/>
          <w:szCs w:val="22"/>
        </w:rPr>
      </w:pPr>
      <w:r w:rsidRPr="006604E8">
        <w:rPr>
          <w:bCs/>
          <w:sz w:val="22"/>
          <w:szCs w:val="22"/>
        </w:rPr>
        <w:t xml:space="preserve">Requirements. </w:t>
      </w:r>
    </w:p>
    <w:p w14:paraId="163EDDBC" w14:textId="7779B735" w:rsidR="007833BE" w:rsidRPr="006604E8" w:rsidRDefault="007833BE" w:rsidP="007833BE">
      <w:pPr>
        <w:pStyle w:val="list1"/>
        <w:numPr>
          <w:ilvl w:val="0"/>
          <w:numId w:val="7"/>
        </w:numPr>
        <w:rPr>
          <w:bCs/>
          <w:sz w:val="22"/>
          <w:szCs w:val="22"/>
        </w:rPr>
      </w:pPr>
      <w:r w:rsidRPr="006604E8">
        <w:rPr>
          <w:bCs/>
          <w:sz w:val="22"/>
          <w:szCs w:val="22"/>
        </w:rPr>
        <w:t xml:space="preserve">The maximum rent of the </w:t>
      </w:r>
      <w:r w:rsidR="00B4407D" w:rsidRPr="006604E8">
        <w:rPr>
          <w:bCs/>
          <w:sz w:val="22"/>
          <w:szCs w:val="22"/>
        </w:rPr>
        <w:t xml:space="preserve">affordable </w:t>
      </w:r>
      <w:r w:rsidRPr="006604E8">
        <w:rPr>
          <w:bCs/>
          <w:sz w:val="22"/>
          <w:szCs w:val="22"/>
        </w:rPr>
        <w:t xml:space="preserve">accessory dwelling unit, including utilities and parking, shall be at least thirty percent below the established Fair Market Rent limit for the City of Salem as determined annually by the United States Department of Housing and Urban Development. </w:t>
      </w:r>
    </w:p>
    <w:p w14:paraId="04CD3FEE" w14:textId="77777777" w:rsidR="00145EA3" w:rsidRPr="006604E8" w:rsidRDefault="00145EA3" w:rsidP="00145EA3">
      <w:pPr>
        <w:pStyle w:val="list1"/>
        <w:numPr>
          <w:ilvl w:val="0"/>
          <w:numId w:val="7"/>
        </w:numPr>
        <w:rPr>
          <w:bCs/>
          <w:sz w:val="22"/>
          <w:szCs w:val="22"/>
        </w:rPr>
      </w:pPr>
      <w:bookmarkStart w:id="0" w:name="_Hlk39818291"/>
      <w:bookmarkStart w:id="1" w:name="_Hlk60929769"/>
      <w:r w:rsidRPr="006604E8">
        <w:rPr>
          <w:bCs/>
          <w:sz w:val="22"/>
          <w:szCs w:val="22"/>
        </w:rPr>
        <w:t xml:space="preserve">The affordable accessory dwelling unit shall not be constructed within a new detached accessory building, as defined in </w:t>
      </w:r>
      <w:r w:rsidR="00517CB1" w:rsidRPr="006604E8">
        <w:rPr>
          <w:bCs/>
          <w:sz w:val="22"/>
          <w:szCs w:val="22"/>
        </w:rPr>
        <w:t>subsection 8 of Section 3.2.8</w:t>
      </w:r>
      <w:r w:rsidRPr="006604E8">
        <w:rPr>
          <w:bCs/>
          <w:sz w:val="22"/>
          <w:szCs w:val="22"/>
        </w:rPr>
        <w:t>.</w:t>
      </w:r>
    </w:p>
    <w:bookmarkEnd w:id="0"/>
    <w:bookmarkEnd w:id="1"/>
    <w:p w14:paraId="511A3DA4" w14:textId="77777777" w:rsidR="009547C5" w:rsidRPr="006604E8" w:rsidRDefault="009547C5" w:rsidP="009547C5">
      <w:pPr>
        <w:pStyle w:val="list1"/>
        <w:numPr>
          <w:ilvl w:val="0"/>
          <w:numId w:val="7"/>
        </w:numPr>
        <w:rPr>
          <w:bCs/>
          <w:sz w:val="22"/>
          <w:szCs w:val="22"/>
        </w:rPr>
      </w:pPr>
      <w:r w:rsidRPr="006604E8">
        <w:rPr>
          <w:bCs/>
          <w:sz w:val="22"/>
          <w:szCs w:val="22"/>
        </w:rPr>
        <w:t>The affordable accessory dwelling unit shall not be considered a dwelling unit for the purpose of Section 5.1 Required Parking.</w:t>
      </w:r>
    </w:p>
    <w:p w14:paraId="76BB8E8C" w14:textId="77777777" w:rsidR="007833BE" w:rsidRPr="006604E8" w:rsidRDefault="007833BE" w:rsidP="002C5B92">
      <w:pPr>
        <w:pStyle w:val="list1"/>
        <w:numPr>
          <w:ilvl w:val="0"/>
          <w:numId w:val="7"/>
        </w:numPr>
        <w:rPr>
          <w:sz w:val="22"/>
          <w:szCs w:val="22"/>
        </w:rPr>
      </w:pPr>
      <w:r w:rsidRPr="006604E8">
        <w:rPr>
          <w:bCs/>
          <w:sz w:val="22"/>
          <w:szCs w:val="22"/>
        </w:rPr>
        <w:t>The affordable accessory dwelling unit shall not result in a net loss of the total measured caliper</w:t>
      </w:r>
      <w:r w:rsidR="009036B5" w:rsidRPr="006604E8">
        <w:rPr>
          <w:bCs/>
          <w:sz w:val="22"/>
          <w:szCs w:val="22"/>
        </w:rPr>
        <w:t xml:space="preserve"> inches</w:t>
      </w:r>
      <w:r w:rsidRPr="006604E8">
        <w:rPr>
          <w:bCs/>
          <w:sz w:val="22"/>
          <w:szCs w:val="22"/>
        </w:rPr>
        <w:t xml:space="preserve"> of private trees on the lot in which the affordable accessory dwelling unit will be located unless a payment in per caliper</w:t>
      </w:r>
      <w:r w:rsidR="00D836B0" w:rsidRPr="006604E8">
        <w:rPr>
          <w:bCs/>
          <w:sz w:val="22"/>
          <w:szCs w:val="22"/>
        </w:rPr>
        <w:t xml:space="preserve"> inch</w:t>
      </w:r>
      <w:r w:rsidRPr="006604E8">
        <w:rPr>
          <w:bCs/>
          <w:sz w:val="22"/>
          <w:szCs w:val="22"/>
        </w:rPr>
        <w:t xml:space="preserve"> of the tree diameter at breast height (DBH)</w:t>
      </w:r>
      <w:r w:rsidR="00551806" w:rsidRPr="006604E8">
        <w:rPr>
          <w:bCs/>
          <w:sz w:val="22"/>
          <w:szCs w:val="22"/>
        </w:rPr>
        <w:t xml:space="preserve"> at the prevailing rate set by the Tree Warden</w:t>
      </w:r>
      <w:r w:rsidRPr="006604E8">
        <w:rPr>
          <w:bCs/>
          <w:sz w:val="22"/>
          <w:szCs w:val="22"/>
        </w:rPr>
        <w:t xml:space="preserve"> is made to the tree replacement fund.</w:t>
      </w:r>
    </w:p>
    <w:p w14:paraId="14588620" w14:textId="77777777" w:rsidR="007833BE" w:rsidRPr="006604E8" w:rsidRDefault="007833BE" w:rsidP="007833BE">
      <w:pPr>
        <w:pStyle w:val="list1"/>
        <w:numPr>
          <w:ilvl w:val="0"/>
          <w:numId w:val="7"/>
        </w:numPr>
        <w:rPr>
          <w:bCs/>
          <w:sz w:val="22"/>
          <w:szCs w:val="22"/>
        </w:rPr>
      </w:pPr>
      <w:r w:rsidRPr="006604E8">
        <w:rPr>
          <w:bCs/>
          <w:sz w:val="22"/>
          <w:szCs w:val="22"/>
        </w:rPr>
        <w:t>The affordable accessory dwelling unit shall not contain less than 350 square feet of habitable space.</w:t>
      </w:r>
    </w:p>
    <w:p w14:paraId="231E3771" w14:textId="77777777" w:rsidR="00551806" w:rsidRPr="006604E8" w:rsidRDefault="007833BE" w:rsidP="00551806">
      <w:pPr>
        <w:pStyle w:val="list1"/>
        <w:numPr>
          <w:ilvl w:val="0"/>
          <w:numId w:val="7"/>
        </w:numPr>
        <w:rPr>
          <w:bCs/>
          <w:sz w:val="22"/>
          <w:szCs w:val="22"/>
        </w:rPr>
      </w:pPr>
      <w:r w:rsidRPr="006604E8">
        <w:rPr>
          <w:bCs/>
          <w:sz w:val="22"/>
          <w:szCs w:val="22"/>
        </w:rPr>
        <w:t>The affordable accessory dwelling unit shall not contain in excess of 900 square feet of habitable space.</w:t>
      </w:r>
    </w:p>
    <w:p w14:paraId="5941BE45" w14:textId="77777777" w:rsidR="00D26D67" w:rsidRPr="006604E8" w:rsidRDefault="00551806" w:rsidP="00D26D67">
      <w:pPr>
        <w:pStyle w:val="list1"/>
        <w:numPr>
          <w:ilvl w:val="0"/>
          <w:numId w:val="7"/>
        </w:numPr>
        <w:rPr>
          <w:bCs/>
          <w:sz w:val="22"/>
          <w:szCs w:val="22"/>
        </w:rPr>
      </w:pPr>
      <w:r w:rsidRPr="006604E8">
        <w:rPr>
          <w:bCs/>
          <w:sz w:val="22"/>
          <w:szCs w:val="22"/>
        </w:rPr>
        <w:t>The affordable accessory dwelling unit shall not exceed 50% of the gross floor area of the principal dwelling.</w:t>
      </w:r>
    </w:p>
    <w:p w14:paraId="4A2D3D33" w14:textId="77777777" w:rsidR="009547C5" w:rsidRPr="006604E8" w:rsidRDefault="00CE236A" w:rsidP="009547C5">
      <w:pPr>
        <w:pStyle w:val="list1"/>
        <w:numPr>
          <w:ilvl w:val="0"/>
          <w:numId w:val="7"/>
        </w:numPr>
        <w:rPr>
          <w:bCs/>
          <w:sz w:val="22"/>
          <w:szCs w:val="22"/>
        </w:rPr>
      </w:pPr>
      <w:r w:rsidRPr="006604E8">
        <w:rPr>
          <w:sz w:val="22"/>
          <w:szCs w:val="22"/>
        </w:rPr>
        <w:t>No more than one (1) affordable accessory dwelling unit shall be permitted for each principal dwelling unit</w:t>
      </w:r>
      <w:r w:rsidR="009547C5" w:rsidRPr="006604E8">
        <w:rPr>
          <w:sz w:val="22"/>
          <w:szCs w:val="22"/>
        </w:rPr>
        <w:t xml:space="preserve"> and </w:t>
      </w:r>
      <w:r w:rsidR="009547C5" w:rsidRPr="006604E8">
        <w:rPr>
          <w:bCs/>
          <w:sz w:val="22"/>
          <w:szCs w:val="22"/>
        </w:rPr>
        <w:t>at least one (1) owner of the residence in which the affordable accessory dwelling unit is created shall reside in one (1) of the dwelling units</w:t>
      </w:r>
      <w:r w:rsidR="003A1E09" w:rsidRPr="006604E8">
        <w:rPr>
          <w:bCs/>
          <w:sz w:val="22"/>
          <w:szCs w:val="22"/>
        </w:rPr>
        <w:t xml:space="preserve">, </w:t>
      </w:r>
      <w:r w:rsidR="003A1E09" w:rsidRPr="006604E8">
        <w:rPr>
          <w:sz w:val="22"/>
          <w:szCs w:val="22"/>
        </w:rPr>
        <w:t xml:space="preserve">either the principal or accessory unit created therein, </w:t>
      </w:r>
      <w:r w:rsidR="009547C5" w:rsidRPr="006604E8">
        <w:rPr>
          <w:bCs/>
          <w:sz w:val="22"/>
          <w:szCs w:val="22"/>
        </w:rPr>
        <w:t xml:space="preserve">as a principal place of residence. For the purpose of this section, the “owner” shall be one or more </w:t>
      </w:r>
      <w:r w:rsidR="009547C5" w:rsidRPr="006604E8">
        <w:rPr>
          <w:bCs/>
          <w:sz w:val="22"/>
          <w:szCs w:val="22"/>
        </w:rPr>
        <w:lastRenderedPageBreak/>
        <w:t>individuals who hold title to the property, or a purchase and sales agreement and for whom the dwelling shall be the primary residence as evidenced by voter registration, tax return or other documentation demonstrating primary residence.</w:t>
      </w:r>
      <w:r w:rsidR="000D2334" w:rsidRPr="006604E8">
        <w:rPr>
          <w:bCs/>
          <w:sz w:val="22"/>
          <w:szCs w:val="22"/>
        </w:rPr>
        <w:t xml:space="preserve"> Owner occupancy is required for an affordable accessory dwelling unit to be permitted. </w:t>
      </w:r>
    </w:p>
    <w:p w14:paraId="4491A917" w14:textId="77777777" w:rsidR="00D26D67" w:rsidRPr="006604E8" w:rsidRDefault="00D26D67" w:rsidP="00D26D67">
      <w:pPr>
        <w:pStyle w:val="list1"/>
        <w:numPr>
          <w:ilvl w:val="0"/>
          <w:numId w:val="7"/>
        </w:numPr>
        <w:rPr>
          <w:bCs/>
          <w:sz w:val="22"/>
          <w:szCs w:val="22"/>
        </w:rPr>
      </w:pPr>
      <w:r w:rsidRPr="006604E8">
        <w:rPr>
          <w:bCs/>
          <w:sz w:val="22"/>
          <w:szCs w:val="22"/>
        </w:rPr>
        <w:t>An affordable accessory dwelling unit shall not be permitted in a building with five (5) or more units.</w:t>
      </w:r>
    </w:p>
    <w:p w14:paraId="2310AFD9" w14:textId="77777777" w:rsidR="007833BE" w:rsidRPr="006604E8" w:rsidRDefault="007833BE" w:rsidP="007833BE">
      <w:pPr>
        <w:pStyle w:val="list1"/>
        <w:numPr>
          <w:ilvl w:val="0"/>
          <w:numId w:val="7"/>
        </w:numPr>
        <w:rPr>
          <w:bCs/>
          <w:sz w:val="22"/>
          <w:szCs w:val="22"/>
        </w:rPr>
      </w:pPr>
      <w:r w:rsidRPr="006604E8">
        <w:rPr>
          <w:bCs/>
          <w:sz w:val="22"/>
          <w:szCs w:val="22"/>
        </w:rPr>
        <w:t>Electricity, water</w:t>
      </w:r>
      <w:r w:rsidR="000456B5" w:rsidRPr="006604E8">
        <w:rPr>
          <w:bCs/>
          <w:sz w:val="22"/>
          <w:szCs w:val="22"/>
        </w:rPr>
        <w:t>,</w:t>
      </w:r>
      <w:r w:rsidR="004803BC" w:rsidRPr="006604E8">
        <w:rPr>
          <w:bCs/>
          <w:sz w:val="22"/>
          <w:szCs w:val="22"/>
        </w:rPr>
        <w:t xml:space="preserve"> </w:t>
      </w:r>
      <w:r w:rsidR="000456B5" w:rsidRPr="006604E8">
        <w:rPr>
          <w:bCs/>
          <w:sz w:val="22"/>
          <w:szCs w:val="22"/>
        </w:rPr>
        <w:t>oil</w:t>
      </w:r>
      <w:r w:rsidR="00EF15B1" w:rsidRPr="006604E8">
        <w:rPr>
          <w:bCs/>
          <w:sz w:val="22"/>
          <w:szCs w:val="22"/>
        </w:rPr>
        <w:t xml:space="preserve"> </w:t>
      </w:r>
      <w:r w:rsidRPr="006604E8">
        <w:rPr>
          <w:bCs/>
          <w:sz w:val="22"/>
          <w:szCs w:val="22"/>
        </w:rPr>
        <w:t>and gas shall be provided by a single service to both the affordable accessory dwelling unit and the principal dwelling</w:t>
      </w:r>
      <w:r w:rsidR="00D26D67" w:rsidRPr="006604E8">
        <w:rPr>
          <w:bCs/>
          <w:sz w:val="22"/>
          <w:szCs w:val="22"/>
        </w:rPr>
        <w:t>, and included in the rent.</w:t>
      </w:r>
      <w:r w:rsidRPr="006604E8">
        <w:rPr>
          <w:bCs/>
          <w:sz w:val="22"/>
          <w:szCs w:val="22"/>
        </w:rPr>
        <w:t xml:space="preserve"> </w:t>
      </w:r>
    </w:p>
    <w:p w14:paraId="5236DF2A" w14:textId="77777777" w:rsidR="00676991" w:rsidRPr="006604E8" w:rsidRDefault="007833BE" w:rsidP="00676991">
      <w:pPr>
        <w:pStyle w:val="list1"/>
        <w:numPr>
          <w:ilvl w:val="0"/>
          <w:numId w:val="7"/>
        </w:numPr>
        <w:rPr>
          <w:bCs/>
          <w:sz w:val="22"/>
          <w:szCs w:val="22"/>
        </w:rPr>
      </w:pPr>
      <w:r w:rsidRPr="006604E8">
        <w:rPr>
          <w:bCs/>
          <w:sz w:val="22"/>
          <w:szCs w:val="22"/>
        </w:rPr>
        <w:t>The affordable accessory dwelling unit may not be sold or transferred separate and apart from the principal dwelling to which it is an accessory use. The principal dwelling and the accessory dwelling unit shall remain in common or single ownership and shall not be severed in ownership.</w:t>
      </w:r>
    </w:p>
    <w:p w14:paraId="1E1C251A" w14:textId="77777777" w:rsidR="00676991" w:rsidRPr="006604E8" w:rsidRDefault="008C62B4" w:rsidP="007833BE">
      <w:pPr>
        <w:pStyle w:val="list1"/>
        <w:numPr>
          <w:ilvl w:val="0"/>
          <w:numId w:val="7"/>
        </w:numPr>
        <w:rPr>
          <w:bCs/>
          <w:sz w:val="22"/>
          <w:szCs w:val="22"/>
        </w:rPr>
      </w:pPr>
      <w:r w:rsidRPr="006604E8">
        <w:rPr>
          <w:bCs/>
          <w:sz w:val="22"/>
          <w:szCs w:val="22"/>
        </w:rPr>
        <w:t xml:space="preserve">All stairways to the affordable accessory dwelling unit above the first floor shall be located on the rear or side of the dwelling. </w:t>
      </w:r>
    </w:p>
    <w:p w14:paraId="38C81DED" w14:textId="77777777" w:rsidR="007833BE" w:rsidRPr="006604E8" w:rsidRDefault="007833BE" w:rsidP="007833BE">
      <w:pPr>
        <w:pStyle w:val="list1"/>
        <w:numPr>
          <w:ilvl w:val="0"/>
          <w:numId w:val="7"/>
        </w:numPr>
        <w:rPr>
          <w:bCs/>
          <w:sz w:val="22"/>
          <w:szCs w:val="22"/>
        </w:rPr>
      </w:pPr>
      <w:r w:rsidRPr="006604E8">
        <w:rPr>
          <w:bCs/>
          <w:sz w:val="22"/>
          <w:szCs w:val="22"/>
        </w:rPr>
        <w:t>The affordable accessory dwelling unit shall not contain more than two (2) bedrooms.</w:t>
      </w:r>
    </w:p>
    <w:p w14:paraId="7030F1E0" w14:textId="77777777" w:rsidR="007833BE" w:rsidRPr="006604E8" w:rsidRDefault="007833BE" w:rsidP="007833BE">
      <w:pPr>
        <w:pStyle w:val="list1"/>
        <w:numPr>
          <w:ilvl w:val="0"/>
          <w:numId w:val="7"/>
        </w:numPr>
        <w:rPr>
          <w:bCs/>
          <w:sz w:val="22"/>
          <w:szCs w:val="22"/>
        </w:rPr>
      </w:pPr>
      <w:r w:rsidRPr="006604E8">
        <w:rPr>
          <w:bCs/>
          <w:sz w:val="22"/>
          <w:szCs w:val="22"/>
        </w:rPr>
        <w:t>The affordable accessory dwelling unit shall be clearly subordinate in use, size and design to the principal dwelling.</w:t>
      </w:r>
    </w:p>
    <w:p w14:paraId="20BC03FB" w14:textId="77777777" w:rsidR="007833BE" w:rsidRPr="006604E8" w:rsidRDefault="007833BE" w:rsidP="007833BE">
      <w:pPr>
        <w:pStyle w:val="list1"/>
        <w:numPr>
          <w:ilvl w:val="0"/>
          <w:numId w:val="7"/>
        </w:numPr>
        <w:rPr>
          <w:bCs/>
          <w:sz w:val="22"/>
          <w:szCs w:val="22"/>
        </w:rPr>
      </w:pPr>
      <w:r w:rsidRPr="006604E8">
        <w:rPr>
          <w:bCs/>
          <w:sz w:val="22"/>
          <w:szCs w:val="22"/>
        </w:rPr>
        <w:t xml:space="preserve">The affordable accessory dwelling unit must be capable of being discontinued as a separate dwelling unit without demolition of any structural component of the principal dwelling. </w:t>
      </w:r>
    </w:p>
    <w:p w14:paraId="67F17359" w14:textId="77777777" w:rsidR="007833BE" w:rsidRPr="006604E8" w:rsidRDefault="007833BE" w:rsidP="007833BE">
      <w:pPr>
        <w:pStyle w:val="list1"/>
        <w:numPr>
          <w:ilvl w:val="0"/>
          <w:numId w:val="7"/>
        </w:numPr>
        <w:rPr>
          <w:bCs/>
          <w:sz w:val="22"/>
          <w:szCs w:val="22"/>
        </w:rPr>
      </w:pPr>
      <w:r w:rsidRPr="006604E8">
        <w:rPr>
          <w:bCs/>
          <w:sz w:val="22"/>
          <w:szCs w:val="22"/>
        </w:rPr>
        <w:t xml:space="preserve">There shall be no occupancy of the affordable accessory dwelling unit until the Building Inspector has issued a certificate of occupancy that the principal dwelling and affordable accessory dwelling unit </w:t>
      </w:r>
      <w:r w:rsidR="00B4407D" w:rsidRPr="006604E8">
        <w:rPr>
          <w:bCs/>
          <w:sz w:val="22"/>
          <w:szCs w:val="22"/>
        </w:rPr>
        <w:t>are</w:t>
      </w:r>
      <w:r w:rsidRPr="006604E8">
        <w:rPr>
          <w:bCs/>
          <w:sz w:val="22"/>
          <w:szCs w:val="22"/>
        </w:rPr>
        <w:t xml:space="preserve"> in compliance with all applicable health and building codes. </w:t>
      </w:r>
    </w:p>
    <w:p w14:paraId="34E2FBE4" w14:textId="77777777" w:rsidR="007833BE" w:rsidRPr="006604E8" w:rsidRDefault="007833BE" w:rsidP="007833BE">
      <w:pPr>
        <w:pStyle w:val="list1"/>
        <w:numPr>
          <w:ilvl w:val="0"/>
          <w:numId w:val="7"/>
        </w:numPr>
        <w:rPr>
          <w:bCs/>
          <w:sz w:val="22"/>
          <w:szCs w:val="22"/>
        </w:rPr>
      </w:pPr>
      <w:r w:rsidRPr="006604E8">
        <w:rPr>
          <w:bCs/>
          <w:sz w:val="22"/>
          <w:szCs w:val="22"/>
        </w:rPr>
        <w:t xml:space="preserve">The Building Permit shall be revoked upon determination by the Building Inspector that any condition imposed by Section 3.2.8 has not been fulfilled. </w:t>
      </w:r>
    </w:p>
    <w:p w14:paraId="02E63C83" w14:textId="77777777" w:rsidR="007833BE" w:rsidRPr="006604E8" w:rsidRDefault="007833BE" w:rsidP="007833BE">
      <w:pPr>
        <w:pStyle w:val="list1"/>
        <w:numPr>
          <w:ilvl w:val="0"/>
          <w:numId w:val="7"/>
        </w:numPr>
        <w:rPr>
          <w:bCs/>
          <w:sz w:val="22"/>
          <w:szCs w:val="22"/>
        </w:rPr>
      </w:pPr>
      <w:r w:rsidRPr="006604E8">
        <w:rPr>
          <w:bCs/>
          <w:sz w:val="22"/>
          <w:szCs w:val="22"/>
        </w:rPr>
        <w:t xml:space="preserve">By filing the Application for a Building Permit for an affordable accessory dwelling unit, all owners consent to an inspection without a warrant upon reasonable notice by the Building Inspector to ensure compliance with all terms of this section. </w:t>
      </w:r>
    </w:p>
    <w:p w14:paraId="55AC2988" w14:textId="4F2B2663" w:rsidR="007833BE" w:rsidRPr="006604E8" w:rsidRDefault="007833BE" w:rsidP="007833BE">
      <w:pPr>
        <w:pStyle w:val="list1"/>
        <w:numPr>
          <w:ilvl w:val="0"/>
          <w:numId w:val="7"/>
        </w:numPr>
        <w:rPr>
          <w:bCs/>
          <w:sz w:val="22"/>
          <w:szCs w:val="22"/>
        </w:rPr>
      </w:pPr>
      <w:bookmarkStart w:id="2" w:name="_Hlk60922784"/>
      <w:r w:rsidRPr="006604E8">
        <w:rPr>
          <w:bCs/>
          <w:sz w:val="22"/>
          <w:szCs w:val="22"/>
        </w:rPr>
        <w:t xml:space="preserve">Short term rentals, as defined in Salem Code of Ordinances Chapter 15, are prohibited in </w:t>
      </w:r>
      <w:r w:rsidR="00AF0290" w:rsidRPr="006604E8">
        <w:rPr>
          <w:bCs/>
          <w:sz w:val="22"/>
          <w:szCs w:val="22"/>
        </w:rPr>
        <w:t>both the</w:t>
      </w:r>
      <w:r w:rsidR="005A200E" w:rsidRPr="006604E8">
        <w:rPr>
          <w:bCs/>
          <w:sz w:val="22"/>
          <w:szCs w:val="22"/>
        </w:rPr>
        <w:t xml:space="preserve"> affordable</w:t>
      </w:r>
      <w:r w:rsidRPr="006604E8">
        <w:rPr>
          <w:bCs/>
          <w:sz w:val="22"/>
          <w:szCs w:val="22"/>
        </w:rPr>
        <w:t xml:space="preserve"> accessory </w:t>
      </w:r>
      <w:r w:rsidR="00AF0290" w:rsidRPr="006604E8">
        <w:rPr>
          <w:bCs/>
          <w:sz w:val="22"/>
          <w:szCs w:val="22"/>
        </w:rPr>
        <w:t xml:space="preserve">and principal </w:t>
      </w:r>
      <w:r w:rsidRPr="006604E8">
        <w:rPr>
          <w:bCs/>
          <w:sz w:val="22"/>
          <w:szCs w:val="22"/>
        </w:rPr>
        <w:t>dwelling unit</w:t>
      </w:r>
      <w:r w:rsidR="00AF0290" w:rsidRPr="006604E8">
        <w:rPr>
          <w:bCs/>
          <w:sz w:val="22"/>
          <w:szCs w:val="22"/>
        </w:rPr>
        <w:t>s</w:t>
      </w:r>
      <w:r w:rsidR="005A200E" w:rsidRPr="006604E8">
        <w:rPr>
          <w:bCs/>
          <w:sz w:val="22"/>
          <w:szCs w:val="22"/>
        </w:rPr>
        <w:t xml:space="preserve"> </w:t>
      </w:r>
      <w:r w:rsidRPr="006604E8">
        <w:rPr>
          <w:bCs/>
          <w:sz w:val="22"/>
          <w:szCs w:val="22"/>
        </w:rPr>
        <w:t>.</w:t>
      </w:r>
    </w:p>
    <w:bookmarkEnd w:id="2"/>
    <w:p w14:paraId="48C22C3C" w14:textId="77777777" w:rsidR="007833BE" w:rsidRPr="006604E8" w:rsidRDefault="007833BE" w:rsidP="007833BE">
      <w:pPr>
        <w:pStyle w:val="List2"/>
        <w:numPr>
          <w:ilvl w:val="0"/>
          <w:numId w:val="7"/>
        </w:numPr>
        <w:rPr>
          <w:bCs/>
          <w:sz w:val="22"/>
          <w:szCs w:val="22"/>
        </w:rPr>
      </w:pPr>
      <w:r w:rsidRPr="006604E8">
        <w:rPr>
          <w:bCs/>
          <w:sz w:val="22"/>
          <w:szCs w:val="22"/>
        </w:rPr>
        <w:t xml:space="preserve">The affordable accessory dwelling unit shall obtain </w:t>
      </w:r>
      <w:r w:rsidR="00B4407D" w:rsidRPr="006604E8">
        <w:rPr>
          <w:bCs/>
          <w:sz w:val="22"/>
          <w:szCs w:val="22"/>
        </w:rPr>
        <w:t xml:space="preserve">a </w:t>
      </w:r>
      <w:r w:rsidRPr="006604E8">
        <w:rPr>
          <w:bCs/>
          <w:sz w:val="22"/>
          <w:szCs w:val="22"/>
        </w:rPr>
        <w:t xml:space="preserve">certificate of fitness subject to the provisions of Section 2-705 of the City of Salem Code of Ordinances. </w:t>
      </w:r>
    </w:p>
    <w:p w14:paraId="5C27E4DE" w14:textId="77777777" w:rsidR="007833BE" w:rsidRPr="006604E8" w:rsidRDefault="007833BE" w:rsidP="007833BE">
      <w:pPr>
        <w:pStyle w:val="b1"/>
        <w:numPr>
          <w:ilvl w:val="0"/>
          <w:numId w:val="2"/>
        </w:numPr>
        <w:ind w:left="450"/>
        <w:rPr>
          <w:bCs/>
          <w:sz w:val="22"/>
          <w:szCs w:val="22"/>
        </w:rPr>
      </w:pPr>
      <w:bookmarkStart w:id="3" w:name="_Hlk39818365"/>
      <w:r w:rsidRPr="006604E8">
        <w:rPr>
          <w:bCs/>
          <w:sz w:val="22"/>
          <w:szCs w:val="22"/>
        </w:rPr>
        <w:t>Termination.</w:t>
      </w:r>
    </w:p>
    <w:bookmarkEnd w:id="3"/>
    <w:p w14:paraId="01840825" w14:textId="77777777" w:rsidR="007833BE" w:rsidRPr="006604E8" w:rsidRDefault="007833BE" w:rsidP="00793491">
      <w:pPr>
        <w:pStyle w:val="b1"/>
        <w:numPr>
          <w:ilvl w:val="0"/>
          <w:numId w:val="8"/>
        </w:numPr>
        <w:rPr>
          <w:bCs/>
          <w:sz w:val="22"/>
          <w:szCs w:val="22"/>
        </w:rPr>
      </w:pPr>
      <w:r w:rsidRPr="006604E8">
        <w:rPr>
          <w:bCs/>
          <w:sz w:val="22"/>
          <w:szCs w:val="22"/>
        </w:rPr>
        <w:t xml:space="preserve">The affordable accessory dwelling unit use shall terminate immediately upon any violation of any term or condition of this ordinance that the owner fails to cure, upon </w:t>
      </w:r>
      <w:r w:rsidR="00804462" w:rsidRPr="006604E8">
        <w:rPr>
          <w:bCs/>
          <w:sz w:val="22"/>
          <w:szCs w:val="22"/>
        </w:rPr>
        <w:t xml:space="preserve">thirty (30) days </w:t>
      </w:r>
      <w:r w:rsidRPr="006604E8">
        <w:rPr>
          <w:bCs/>
          <w:sz w:val="22"/>
          <w:szCs w:val="22"/>
        </w:rPr>
        <w:t xml:space="preserve">written notice mailed to the applicant and to the occupants at the dwelling address by certified mail, return receipt requested. </w:t>
      </w:r>
    </w:p>
    <w:p w14:paraId="413931B5" w14:textId="77777777" w:rsidR="007833BE" w:rsidRPr="006604E8" w:rsidRDefault="007833BE" w:rsidP="007833BE">
      <w:pPr>
        <w:pStyle w:val="list1"/>
        <w:numPr>
          <w:ilvl w:val="0"/>
          <w:numId w:val="8"/>
        </w:numPr>
        <w:rPr>
          <w:bCs/>
          <w:sz w:val="22"/>
          <w:szCs w:val="22"/>
        </w:rPr>
      </w:pPr>
      <w:r w:rsidRPr="006604E8">
        <w:rPr>
          <w:bCs/>
          <w:sz w:val="22"/>
          <w:szCs w:val="22"/>
        </w:rPr>
        <w:t>Duty of Owner Upon Termination include:</w:t>
      </w:r>
    </w:p>
    <w:p w14:paraId="4A34C46C" w14:textId="77777777" w:rsidR="007833BE" w:rsidRPr="006604E8" w:rsidRDefault="007833BE" w:rsidP="007833BE">
      <w:pPr>
        <w:pStyle w:val="ListParagraph"/>
        <w:numPr>
          <w:ilvl w:val="0"/>
          <w:numId w:val="9"/>
        </w:numPr>
        <w:rPr>
          <w:rFonts w:ascii="Arial" w:hAnsi="Arial" w:cs="Arial"/>
          <w:bCs/>
        </w:rPr>
      </w:pPr>
      <w:r w:rsidRPr="006604E8">
        <w:rPr>
          <w:rFonts w:ascii="Arial" w:hAnsi="Arial" w:cs="Arial"/>
          <w:bCs/>
        </w:rPr>
        <w:t xml:space="preserve">The owner shall discontinue the use of the affordable accessory dwelling unit as a separate dwelling unit. </w:t>
      </w:r>
    </w:p>
    <w:p w14:paraId="6560361A" w14:textId="77777777" w:rsidR="007833BE" w:rsidRPr="006604E8" w:rsidRDefault="007833BE" w:rsidP="007833BE">
      <w:pPr>
        <w:pStyle w:val="ListParagraph"/>
        <w:numPr>
          <w:ilvl w:val="0"/>
          <w:numId w:val="9"/>
        </w:numPr>
        <w:rPr>
          <w:rFonts w:ascii="Arial" w:hAnsi="Arial" w:cs="Arial"/>
          <w:bCs/>
        </w:rPr>
      </w:pPr>
      <w:r w:rsidRPr="006604E8">
        <w:rPr>
          <w:rFonts w:ascii="Arial" w:hAnsi="Arial" w:cs="Arial"/>
          <w:bCs/>
        </w:rPr>
        <w:lastRenderedPageBreak/>
        <w:t xml:space="preserve">The kitchen facilities of the affordable accessory dwelling unit shall be removed unless determined by the Building Inspector to be incidental and subordinate as an accessory use of the principal dwelling. </w:t>
      </w:r>
    </w:p>
    <w:p w14:paraId="37087F9A" w14:textId="77777777" w:rsidR="007833BE" w:rsidRPr="006604E8" w:rsidRDefault="007833BE" w:rsidP="007833BE">
      <w:pPr>
        <w:pStyle w:val="ListParagraph"/>
        <w:numPr>
          <w:ilvl w:val="0"/>
          <w:numId w:val="9"/>
        </w:numPr>
        <w:rPr>
          <w:rFonts w:ascii="Arial" w:hAnsi="Arial" w:cs="Arial"/>
          <w:bCs/>
        </w:rPr>
      </w:pPr>
      <w:r w:rsidRPr="006604E8">
        <w:rPr>
          <w:rFonts w:ascii="Arial" w:hAnsi="Arial" w:cs="Arial"/>
          <w:bCs/>
        </w:rPr>
        <w:t xml:space="preserve">Any additional exterior entrance constructed to provide access to the accessory dwelling unit shall be permanently closed, unless the Building Inspector provides a waiver. The owner shall permit an inspection by the Building Inspector without a warrant. </w:t>
      </w:r>
    </w:p>
    <w:p w14:paraId="5C140FF5" w14:textId="77777777" w:rsidR="007833BE" w:rsidRPr="006604E8" w:rsidRDefault="007833BE" w:rsidP="007833BE">
      <w:pPr>
        <w:pStyle w:val="b1"/>
        <w:numPr>
          <w:ilvl w:val="0"/>
          <w:numId w:val="2"/>
        </w:numPr>
        <w:ind w:left="450"/>
        <w:rPr>
          <w:bCs/>
          <w:sz w:val="22"/>
          <w:szCs w:val="22"/>
        </w:rPr>
      </w:pPr>
      <w:r w:rsidRPr="006604E8">
        <w:rPr>
          <w:bCs/>
          <w:sz w:val="22"/>
          <w:szCs w:val="22"/>
        </w:rPr>
        <w:t>Severability. All the clauses of this ordinance are distinct and severable, and if any clause shall be deemed illegal, void, or unenforceable, it shall not affect the validity, legality, or enforceability of any other clause or portion of this bylaw.”</w:t>
      </w:r>
    </w:p>
    <w:p w14:paraId="08B5221E" w14:textId="77777777" w:rsidR="00793491" w:rsidRPr="006604E8" w:rsidRDefault="00793491" w:rsidP="00793491">
      <w:pPr>
        <w:pStyle w:val="b1"/>
        <w:numPr>
          <w:ilvl w:val="0"/>
          <w:numId w:val="2"/>
        </w:numPr>
        <w:ind w:left="450"/>
        <w:rPr>
          <w:bCs/>
          <w:sz w:val="22"/>
          <w:szCs w:val="22"/>
        </w:rPr>
      </w:pPr>
      <w:r w:rsidRPr="006604E8">
        <w:rPr>
          <w:bCs/>
          <w:sz w:val="22"/>
          <w:szCs w:val="22"/>
        </w:rPr>
        <w:t>Definitions.</w:t>
      </w:r>
    </w:p>
    <w:p w14:paraId="27EA92E5" w14:textId="77777777" w:rsidR="002E5024" w:rsidRPr="006604E8" w:rsidRDefault="00961AF6" w:rsidP="002E5024">
      <w:pPr>
        <w:pStyle w:val="NoSpacing"/>
        <w:ind w:left="450"/>
        <w:rPr>
          <w:rFonts w:ascii="Arial" w:hAnsi="Arial" w:cs="Arial"/>
          <w:bCs/>
        </w:rPr>
      </w:pPr>
      <w:r w:rsidRPr="006604E8">
        <w:rPr>
          <w:rFonts w:ascii="Arial" w:hAnsi="Arial" w:cs="Arial"/>
          <w:bCs/>
          <w:i/>
          <w:iCs/>
        </w:rPr>
        <w:t>Attached affordable accessory dwelling unit</w:t>
      </w:r>
      <w:r w:rsidR="00F6585E" w:rsidRPr="006604E8">
        <w:rPr>
          <w:rFonts w:ascii="Arial" w:hAnsi="Arial" w:cs="Arial"/>
          <w:bCs/>
          <w:i/>
          <w:iCs/>
        </w:rPr>
        <w:t xml:space="preserve">: </w:t>
      </w:r>
      <w:r w:rsidR="002E5024" w:rsidRPr="006604E8">
        <w:rPr>
          <w:rFonts w:ascii="Arial" w:hAnsi="Arial" w:cs="Arial"/>
          <w:bCs/>
        </w:rPr>
        <w:t>A</w:t>
      </w:r>
      <w:r w:rsidR="00F6585E" w:rsidRPr="006604E8">
        <w:rPr>
          <w:rFonts w:ascii="Arial" w:hAnsi="Arial" w:cs="Arial"/>
          <w:bCs/>
        </w:rPr>
        <w:t xml:space="preserve">n </w:t>
      </w:r>
      <w:r w:rsidRPr="006604E8">
        <w:rPr>
          <w:rFonts w:ascii="Arial" w:hAnsi="Arial" w:cs="Arial"/>
          <w:bCs/>
        </w:rPr>
        <w:t>affordable accessory dwelling unit created by adding</w:t>
      </w:r>
      <w:r w:rsidR="00F6585E" w:rsidRPr="006604E8">
        <w:rPr>
          <w:rFonts w:ascii="Arial" w:hAnsi="Arial" w:cs="Arial"/>
          <w:bCs/>
        </w:rPr>
        <w:t xml:space="preserve"> gross floor area </w:t>
      </w:r>
      <w:r w:rsidRPr="006604E8">
        <w:rPr>
          <w:rFonts w:ascii="Arial" w:hAnsi="Arial" w:cs="Arial"/>
          <w:bCs/>
        </w:rPr>
        <w:t xml:space="preserve">to the principal dwelling </w:t>
      </w:r>
      <w:r w:rsidR="00F6585E" w:rsidRPr="006604E8">
        <w:rPr>
          <w:rFonts w:ascii="Arial" w:hAnsi="Arial" w:cs="Arial"/>
          <w:bCs/>
        </w:rPr>
        <w:t>after the adoption of this ordinance.</w:t>
      </w:r>
    </w:p>
    <w:p w14:paraId="6D12254B" w14:textId="77777777" w:rsidR="002E5024" w:rsidRPr="006604E8" w:rsidRDefault="002E5024" w:rsidP="00793491">
      <w:pPr>
        <w:pStyle w:val="NoSpacing"/>
        <w:ind w:left="450"/>
        <w:rPr>
          <w:rFonts w:ascii="Arial" w:hAnsi="Arial" w:cs="Arial"/>
          <w:bCs/>
          <w:i/>
          <w:iCs/>
        </w:rPr>
      </w:pPr>
    </w:p>
    <w:p w14:paraId="6C2DA0BC" w14:textId="77777777" w:rsidR="00793491" w:rsidRPr="006604E8" w:rsidRDefault="00793491" w:rsidP="00793491">
      <w:pPr>
        <w:pStyle w:val="NoSpacing"/>
        <w:ind w:left="450"/>
        <w:rPr>
          <w:rFonts w:ascii="Arial" w:hAnsi="Arial" w:cs="Arial"/>
          <w:bCs/>
        </w:rPr>
      </w:pPr>
      <w:r w:rsidRPr="006604E8">
        <w:rPr>
          <w:rFonts w:ascii="Arial" w:hAnsi="Arial" w:cs="Arial"/>
          <w:bCs/>
          <w:i/>
          <w:iCs/>
        </w:rPr>
        <w:t>Existing detached accessory building</w:t>
      </w:r>
      <w:r w:rsidRPr="006604E8">
        <w:rPr>
          <w:rFonts w:ascii="Arial" w:hAnsi="Arial" w:cs="Arial"/>
          <w:bCs/>
        </w:rPr>
        <w:t xml:space="preserve">: A detached accessory </w:t>
      </w:r>
      <w:r w:rsidR="00214C6A" w:rsidRPr="006604E8">
        <w:rPr>
          <w:rFonts w:ascii="Arial" w:hAnsi="Arial" w:cs="Arial"/>
          <w:bCs/>
        </w:rPr>
        <w:t>building</w:t>
      </w:r>
      <w:r w:rsidRPr="006604E8">
        <w:rPr>
          <w:rFonts w:ascii="Arial" w:hAnsi="Arial" w:cs="Arial"/>
          <w:bCs/>
        </w:rPr>
        <w:t xml:space="preserve"> that is existing as of the effective date of this ordinance, that has a foundation, and is a minimum of 350 square feet.</w:t>
      </w:r>
    </w:p>
    <w:p w14:paraId="2D7C3B1E" w14:textId="77777777" w:rsidR="00793491" w:rsidRPr="006604E8" w:rsidRDefault="00793491" w:rsidP="00793491">
      <w:pPr>
        <w:pStyle w:val="NoSpacing"/>
        <w:rPr>
          <w:rFonts w:ascii="Arial" w:hAnsi="Arial" w:cs="Arial"/>
          <w:bCs/>
        </w:rPr>
      </w:pPr>
    </w:p>
    <w:p w14:paraId="11F4BA41" w14:textId="77777777" w:rsidR="00793491" w:rsidRPr="006604E8" w:rsidRDefault="00793491" w:rsidP="00793491">
      <w:pPr>
        <w:pStyle w:val="NoSpacing"/>
        <w:ind w:left="450"/>
        <w:rPr>
          <w:rFonts w:ascii="Arial" w:hAnsi="Arial" w:cs="Arial"/>
          <w:bCs/>
        </w:rPr>
      </w:pPr>
      <w:r w:rsidRPr="006604E8">
        <w:rPr>
          <w:rFonts w:ascii="Arial" w:hAnsi="Arial" w:cs="Arial"/>
          <w:bCs/>
          <w:i/>
          <w:iCs/>
        </w:rPr>
        <w:t>Expanded detached accessory building</w:t>
      </w:r>
      <w:r w:rsidRPr="006604E8">
        <w:rPr>
          <w:rFonts w:ascii="Arial" w:hAnsi="Arial" w:cs="Arial"/>
          <w:bCs/>
        </w:rPr>
        <w:t>: An existing detached accessory building that is expanded after the effective date of this ordinance.</w:t>
      </w:r>
    </w:p>
    <w:p w14:paraId="749A069C" w14:textId="77777777" w:rsidR="00793491" w:rsidRPr="006604E8" w:rsidRDefault="00793491" w:rsidP="00793491">
      <w:pPr>
        <w:pStyle w:val="NoSpacing"/>
        <w:rPr>
          <w:rFonts w:ascii="Arial" w:hAnsi="Arial" w:cs="Arial"/>
          <w:bCs/>
        </w:rPr>
      </w:pPr>
    </w:p>
    <w:p w14:paraId="53FC74F3" w14:textId="77777777" w:rsidR="00793491" w:rsidRPr="006604E8" w:rsidRDefault="00793491" w:rsidP="00793491">
      <w:pPr>
        <w:pStyle w:val="NoSpacing"/>
        <w:ind w:left="450"/>
        <w:rPr>
          <w:rFonts w:ascii="Arial" w:hAnsi="Arial" w:cs="Arial"/>
          <w:bCs/>
        </w:rPr>
      </w:pPr>
      <w:r w:rsidRPr="006604E8">
        <w:rPr>
          <w:rFonts w:ascii="Arial" w:hAnsi="Arial" w:cs="Arial"/>
          <w:bCs/>
          <w:i/>
          <w:iCs/>
        </w:rPr>
        <w:t>New detached accessory building</w:t>
      </w:r>
      <w:r w:rsidRPr="006604E8">
        <w:rPr>
          <w:rFonts w:ascii="Arial" w:hAnsi="Arial" w:cs="Arial"/>
          <w:bCs/>
        </w:rPr>
        <w:t xml:space="preserve">: A detached accessory </w:t>
      </w:r>
      <w:r w:rsidR="00214C6A" w:rsidRPr="006604E8">
        <w:rPr>
          <w:rFonts w:ascii="Arial" w:hAnsi="Arial" w:cs="Arial"/>
          <w:bCs/>
        </w:rPr>
        <w:t>building</w:t>
      </w:r>
      <w:r w:rsidRPr="006604E8">
        <w:rPr>
          <w:rFonts w:ascii="Arial" w:hAnsi="Arial" w:cs="Arial"/>
          <w:bCs/>
        </w:rPr>
        <w:t xml:space="preserve"> that is not existing as of the ef</w:t>
      </w:r>
      <w:r w:rsidR="007127DB" w:rsidRPr="006604E8">
        <w:rPr>
          <w:rFonts w:ascii="Arial" w:hAnsi="Arial" w:cs="Arial"/>
          <w:bCs/>
        </w:rPr>
        <w:t>fective date of this ordinance.</w:t>
      </w:r>
    </w:p>
    <w:p w14:paraId="171F65DF" w14:textId="77777777" w:rsidR="0042285F" w:rsidRPr="006604E8" w:rsidRDefault="0042285F" w:rsidP="00793491">
      <w:pPr>
        <w:pStyle w:val="NoSpacing"/>
        <w:ind w:left="450"/>
        <w:rPr>
          <w:rFonts w:ascii="Arial" w:hAnsi="Arial" w:cs="Arial"/>
          <w:bCs/>
          <w:i/>
          <w:iCs/>
        </w:rPr>
      </w:pPr>
    </w:p>
    <w:p w14:paraId="2A93DC74" w14:textId="456C79AF" w:rsidR="00C77640" w:rsidRPr="006604E8" w:rsidRDefault="00F3750E" w:rsidP="00BC1F77">
      <w:pPr>
        <w:pStyle w:val="NoSpacing"/>
        <w:ind w:left="450"/>
        <w:rPr>
          <w:rFonts w:ascii="Arial" w:hAnsi="Arial" w:cs="Arial"/>
          <w:bCs/>
        </w:rPr>
      </w:pPr>
      <w:r w:rsidRPr="006604E8">
        <w:rPr>
          <w:rFonts w:ascii="Arial" w:hAnsi="Arial" w:cs="Arial"/>
          <w:bCs/>
          <w:i/>
          <w:iCs/>
        </w:rPr>
        <w:t>Principal dwelling</w:t>
      </w:r>
      <w:r w:rsidR="00DC583D" w:rsidRPr="006604E8">
        <w:rPr>
          <w:rFonts w:ascii="Arial" w:hAnsi="Arial" w:cs="Arial"/>
          <w:bCs/>
          <w:i/>
          <w:iCs/>
        </w:rPr>
        <w:t xml:space="preserve"> unit</w:t>
      </w:r>
      <w:r w:rsidRPr="006604E8">
        <w:rPr>
          <w:rFonts w:ascii="Arial" w:hAnsi="Arial" w:cs="Arial"/>
          <w:bCs/>
          <w:i/>
          <w:iCs/>
        </w:rPr>
        <w:t xml:space="preserve">: </w:t>
      </w:r>
      <w:r w:rsidR="00E61339" w:rsidRPr="006604E8">
        <w:rPr>
          <w:rFonts w:ascii="Arial" w:hAnsi="Arial" w:cs="Arial"/>
          <w:bCs/>
        </w:rPr>
        <w:t>A</w:t>
      </w:r>
      <w:r w:rsidRPr="006604E8">
        <w:rPr>
          <w:rFonts w:ascii="Arial" w:hAnsi="Arial" w:cs="Arial"/>
          <w:bCs/>
        </w:rPr>
        <w:t xml:space="preserve"> </w:t>
      </w:r>
      <w:r w:rsidR="00661918" w:rsidRPr="006604E8">
        <w:rPr>
          <w:rFonts w:ascii="Arial" w:hAnsi="Arial" w:cs="Arial"/>
          <w:bCs/>
        </w:rPr>
        <w:t>dwelling uni</w:t>
      </w:r>
      <w:r w:rsidR="00DC583D" w:rsidRPr="006604E8">
        <w:rPr>
          <w:rFonts w:ascii="Arial" w:hAnsi="Arial" w:cs="Arial"/>
          <w:bCs/>
        </w:rPr>
        <w:t>t</w:t>
      </w:r>
      <w:r w:rsidR="00661918" w:rsidRPr="006604E8">
        <w:rPr>
          <w:rFonts w:ascii="Arial" w:hAnsi="Arial" w:cs="Arial"/>
          <w:bCs/>
        </w:rPr>
        <w:t xml:space="preserve"> </w:t>
      </w:r>
      <w:r w:rsidR="00DC583D" w:rsidRPr="006604E8">
        <w:rPr>
          <w:rFonts w:ascii="Arial" w:hAnsi="Arial" w:cs="Arial"/>
          <w:bCs/>
        </w:rPr>
        <w:t>permitted as a principal residential use under Section 3</w:t>
      </w:r>
      <w:r w:rsidR="00E61339" w:rsidRPr="006604E8">
        <w:rPr>
          <w:rFonts w:ascii="Arial" w:hAnsi="Arial" w:cs="Arial"/>
          <w:bCs/>
        </w:rPr>
        <w:t xml:space="preserve">, </w:t>
      </w:r>
      <w:r w:rsidR="00DC583D" w:rsidRPr="006604E8">
        <w:rPr>
          <w:rFonts w:ascii="Arial" w:hAnsi="Arial" w:cs="Arial"/>
          <w:bCs/>
        </w:rPr>
        <w:t>Table of Principal and Accessory Use Regulations</w:t>
      </w:r>
      <w:r w:rsidR="00BC1F77" w:rsidRPr="006604E8">
        <w:rPr>
          <w:rFonts w:ascii="Arial" w:hAnsi="Arial" w:cs="Arial"/>
          <w:bCs/>
        </w:rPr>
        <w:t>.</w:t>
      </w:r>
      <w:r w:rsidR="00BB1AC8" w:rsidRPr="006604E8">
        <w:rPr>
          <w:rFonts w:ascii="Arial" w:hAnsi="Arial" w:cs="Arial"/>
          <w:bCs/>
        </w:rPr>
        <w:t xml:space="preserve"> </w:t>
      </w:r>
      <w:r w:rsidR="00FC332A" w:rsidRPr="006604E8">
        <w:rPr>
          <w:rFonts w:ascii="Arial" w:hAnsi="Arial" w:cs="Arial"/>
          <w:bCs/>
        </w:rPr>
        <w:t xml:space="preserve">By way of example </w:t>
      </w:r>
      <w:r w:rsidR="00DC583D" w:rsidRPr="006604E8">
        <w:rPr>
          <w:rFonts w:ascii="Arial" w:hAnsi="Arial" w:cs="Arial"/>
          <w:bCs/>
        </w:rPr>
        <w:t xml:space="preserve">a </w:t>
      </w:r>
      <w:r w:rsidR="00732E0B" w:rsidRPr="006604E8">
        <w:rPr>
          <w:rFonts w:ascii="Arial" w:hAnsi="Arial" w:cs="Arial"/>
          <w:bCs/>
        </w:rPr>
        <w:t>single-family</w:t>
      </w:r>
      <w:r w:rsidR="00E61339" w:rsidRPr="006604E8">
        <w:rPr>
          <w:rFonts w:ascii="Arial" w:hAnsi="Arial" w:cs="Arial"/>
          <w:bCs/>
        </w:rPr>
        <w:t xml:space="preserve"> home</w:t>
      </w:r>
      <w:r w:rsidR="00D751AA" w:rsidRPr="006604E8">
        <w:rPr>
          <w:rFonts w:ascii="Arial" w:hAnsi="Arial" w:cs="Arial"/>
          <w:bCs/>
        </w:rPr>
        <w:t xml:space="preserve"> permitted pursuant to Section 3 </w:t>
      </w:r>
      <w:r w:rsidR="00E61339" w:rsidRPr="006604E8">
        <w:rPr>
          <w:rFonts w:ascii="Arial" w:hAnsi="Arial" w:cs="Arial"/>
          <w:bCs/>
        </w:rPr>
        <w:t>shall comprise of one principal dwelling unit</w:t>
      </w:r>
      <w:r w:rsidR="00A731AB" w:rsidRPr="006604E8">
        <w:rPr>
          <w:rFonts w:ascii="Arial" w:hAnsi="Arial" w:cs="Arial"/>
          <w:bCs/>
        </w:rPr>
        <w:t>,</w:t>
      </w:r>
      <w:r w:rsidR="00E61339" w:rsidRPr="006604E8">
        <w:rPr>
          <w:rFonts w:ascii="Arial" w:hAnsi="Arial" w:cs="Arial"/>
          <w:bCs/>
        </w:rPr>
        <w:t xml:space="preserve"> </w:t>
      </w:r>
      <w:r w:rsidR="00D751AA" w:rsidRPr="006604E8">
        <w:rPr>
          <w:rFonts w:ascii="Arial" w:hAnsi="Arial" w:cs="Arial"/>
          <w:bCs/>
        </w:rPr>
        <w:t>whereas a</w:t>
      </w:r>
      <w:r w:rsidR="00E61339" w:rsidRPr="006604E8">
        <w:rPr>
          <w:rFonts w:ascii="Arial" w:hAnsi="Arial" w:cs="Arial"/>
          <w:bCs/>
        </w:rPr>
        <w:t xml:space="preserve"> </w:t>
      </w:r>
      <w:r w:rsidR="00DC583D" w:rsidRPr="006604E8">
        <w:rPr>
          <w:rFonts w:ascii="Arial" w:hAnsi="Arial" w:cs="Arial"/>
          <w:bCs/>
        </w:rPr>
        <w:t xml:space="preserve">two-family </w:t>
      </w:r>
      <w:r w:rsidR="00E61339" w:rsidRPr="006604E8">
        <w:rPr>
          <w:rFonts w:ascii="Arial" w:hAnsi="Arial" w:cs="Arial"/>
          <w:bCs/>
        </w:rPr>
        <w:t xml:space="preserve">home </w:t>
      </w:r>
      <w:r w:rsidR="00D751AA" w:rsidRPr="006604E8">
        <w:rPr>
          <w:rFonts w:ascii="Arial" w:hAnsi="Arial" w:cs="Arial"/>
          <w:bCs/>
        </w:rPr>
        <w:t xml:space="preserve">permitted pursuant to Section </w:t>
      </w:r>
      <w:r w:rsidR="00683E65" w:rsidRPr="006604E8">
        <w:rPr>
          <w:rFonts w:ascii="Arial" w:hAnsi="Arial" w:cs="Arial"/>
          <w:bCs/>
        </w:rPr>
        <w:t>3 shall</w:t>
      </w:r>
      <w:r w:rsidR="00FC332A" w:rsidRPr="006604E8">
        <w:rPr>
          <w:rFonts w:ascii="Arial" w:hAnsi="Arial" w:cs="Arial"/>
          <w:bCs/>
        </w:rPr>
        <w:t xml:space="preserve"> comprise of two </w:t>
      </w:r>
      <w:r w:rsidR="00E61339" w:rsidRPr="006604E8">
        <w:rPr>
          <w:rFonts w:ascii="Arial" w:hAnsi="Arial" w:cs="Arial"/>
          <w:bCs/>
        </w:rPr>
        <w:t>principal dwelling units</w:t>
      </w:r>
      <w:r w:rsidR="002D5918" w:rsidRPr="006604E8">
        <w:rPr>
          <w:rFonts w:ascii="Arial" w:hAnsi="Arial" w:cs="Arial"/>
          <w:bCs/>
        </w:rPr>
        <w:t xml:space="preserve">. </w:t>
      </w:r>
      <w:r w:rsidR="00E61339" w:rsidRPr="006604E8">
        <w:rPr>
          <w:rFonts w:ascii="Arial" w:hAnsi="Arial" w:cs="Arial"/>
          <w:bCs/>
        </w:rPr>
        <w:t>An accessory dwelling unit shall not be considered a principal dwelling unit.</w:t>
      </w:r>
    </w:p>
    <w:p w14:paraId="6D85009E" w14:textId="77777777" w:rsidR="00C937A5" w:rsidRPr="006604E8" w:rsidRDefault="00C937A5" w:rsidP="00BC1F77">
      <w:pPr>
        <w:pStyle w:val="NoSpacing"/>
        <w:ind w:left="450"/>
        <w:rPr>
          <w:rFonts w:ascii="Arial" w:hAnsi="Arial" w:cs="Arial"/>
          <w:bCs/>
        </w:rPr>
      </w:pPr>
    </w:p>
    <w:p w14:paraId="057D09B6" w14:textId="25899B60" w:rsidR="00012472" w:rsidRPr="006604E8" w:rsidRDefault="00C77640" w:rsidP="006A4B5D">
      <w:pPr>
        <w:pStyle w:val="NoSpacing"/>
        <w:rPr>
          <w:rFonts w:ascii="Arial" w:hAnsi="Arial" w:cs="Arial"/>
          <w:bCs/>
        </w:rPr>
      </w:pPr>
      <w:r w:rsidRPr="006604E8">
        <w:rPr>
          <w:rFonts w:ascii="Arial" w:hAnsi="Arial" w:cs="Arial"/>
          <w:b/>
          <w:bCs/>
        </w:rPr>
        <w:t xml:space="preserve">Section 5. </w:t>
      </w:r>
      <w:r w:rsidRPr="006604E8">
        <w:rPr>
          <w:rFonts w:ascii="Arial" w:hAnsi="Arial" w:cs="Arial"/>
          <w:bCs/>
        </w:rPr>
        <w:t>This Ordinance shall take effect as provided by City Charter.</w:t>
      </w:r>
    </w:p>
    <w:p w14:paraId="2B1A8978" w14:textId="34188108" w:rsidR="00680F04" w:rsidRPr="006604E8" w:rsidRDefault="00680F04" w:rsidP="006A4B5D">
      <w:pPr>
        <w:pStyle w:val="NoSpacing"/>
        <w:rPr>
          <w:rFonts w:ascii="Arial" w:hAnsi="Arial" w:cs="Arial"/>
          <w:bCs/>
        </w:rPr>
      </w:pPr>
    </w:p>
    <w:p w14:paraId="2B1AF1D7" w14:textId="7CFF2161" w:rsidR="00680F04" w:rsidRPr="006604E8" w:rsidRDefault="00680F04" w:rsidP="006A4B5D">
      <w:pPr>
        <w:pStyle w:val="NoSpacing"/>
        <w:rPr>
          <w:rFonts w:ascii="Arial" w:hAnsi="Arial" w:cs="Arial"/>
          <w:bCs/>
        </w:rPr>
      </w:pPr>
      <w:r w:rsidRPr="006604E8">
        <w:rPr>
          <w:rFonts w:ascii="Arial" w:hAnsi="Arial" w:cs="Arial"/>
          <w:bCs/>
        </w:rPr>
        <w:t>In City Council February 11, 2021</w:t>
      </w:r>
    </w:p>
    <w:p w14:paraId="62B08DDB" w14:textId="449DFF29" w:rsidR="00680F04" w:rsidRPr="006604E8" w:rsidRDefault="00680F04" w:rsidP="006A4B5D">
      <w:pPr>
        <w:pStyle w:val="NoSpacing"/>
        <w:rPr>
          <w:rFonts w:ascii="Arial" w:hAnsi="Arial" w:cs="Arial"/>
          <w:bCs/>
        </w:rPr>
      </w:pPr>
      <w:r w:rsidRPr="006604E8">
        <w:rPr>
          <w:rFonts w:ascii="Arial" w:hAnsi="Arial" w:cs="Arial"/>
          <w:bCs/>
        </w:rPr>
        <w:t>Referred to the Planning Board to hold a Joint Public Hearing by a roll call vote of 11 yeas, 0 nays and 0 absent</w:t>
      </w:r>
    </w:p>
    <w:p w14:paraId="7C52A34E" w14:textId="4B88D541" w:rsidR="00680F04" w:rsidRPr="006604E8" w:rsidRDefault="00680F04" w:rsidP="006A4B5D">
      <w:pPr>
        <w:pStyle w:val="NoSpacing"/>
        <w:rPr>
          <w:rFonts w:ascii="Arial" w:hAnsi="Arial" w:cs="Arial"/>
          <w:bCs/>
        </w:rPr>
      </w:pPr>
      <w:r w:rsidRPr="006604E8">
        <w:rPr>
          <w:rFonts w:ascii="Arial" w:hAnsi="Arial" w:cs="Arial"/>
          <w:bCs/>
        </w:rPr>
        <w:t>Joint Public Hearing held on March 30, 2021</w:t>
      </w:r>
    </w:p>
    <w:p w14:paraId="5B6A04AA" w14:textId="79060458" w:rsidR="00680F04" w:rsidRPr="006604E8" w:rsidRDefault="00680F04" w:rsidP="006A4B5D">
      <w:pPr>
        <w:pStyle w:val="NoSpacing"/>
        <w:rPr>
          <w:rFonts w:ascii="Arial" w:hAnsi="Arial" w:cs="Arial"/>
          <w:bCs/>
        </w:rPr>
      </w:pPr>
      <w:r w:rsidRPr="006604E8">
        <w:rPr>
          <w:rFonts w:ascii="Arial" w:hAnsi="Arial" w:cs="Arial"/>
          <w:bCs/>
        </w:rPr>
        <w:t xml:space="preserve">Advertised in the Salem News on March 15, </w:t>
      </w:r>
      <w:proofErr w:type="gramStart"/>
      <w:r w:rsidRPr="006604E8">
        <w:rPr>
          <w:rFonts w:ascii="Arial" w:hAnsi="Arial" w:cs="Arial"/>
          <w:bCs/>
        </w:rPr>
        <w:t>2021</w:t>
      </w:r>
      <w:proofErr w:type="gramEnd"/>
      <w:r w:rsidRPr="006604E8">
        <w:rPr>
          <w:rFonts w:ascii="Arial" w:hAnsi="Arial" w:cs="Arial"/>
          <w:bCs/>
        </w:rPr>
        <w:t xml:space="preserve"> and March 22, 2021</w:t>
      </w:r>
    </w:p>
    <w:p w14:paraId="76E1AE49" w14:textId="2B4E9DC2" w:rsidR="00680F04" w:rsidRPr="006604E8" w:rsidRDefault="00680F04" w:rsidP="006A4B5D">
      <w:pPr>
        <w:pStyle w:val="NoSpacing"/>
        <w:rPr>
          <w:rFonts w:ascii="Arial" w:hAnsi="Arial" w:cs="Arial"/>
          <w:bCs/>
        </w:rPr>
      </w:pPr>
      <w:r w:rsidRPr="006604E8">
        <w:rPr>
          <w:rFonts w:ascii="Arial" w:hAnsi="Arial" w:cs="Arial"/>
          <w:bCs/>
        </w:rPr>
        <w:t>Joint Public Hearing Closed by a roll call vote of 11 yeas, 0 nays and 0 absent</w:t>
      </w:r>
    </w:p>
    <w:p w14:paraId="0206EEF3" w14:textId="001EDA3F" w:rsidR="00680F04" w:rsidRPr="006604E8" w:rsidRDefault="00680F04" w:rsidP="006A4B5D">
      <w:pPr>
        <w:pStyle w:val="NoSpacing"/>
        <w:rPr>
          <w:rFonts w:ascii="Arial" w:hAnsi="Arial" w:cs="Arial"/>
          <w:bCs/>
        </w:rPr>
      </w:pPr>
      <w:r w:rsidRPr="006604E8">
        <w:rPr>
          <w:rFonts w:ascii="Arial" w:hAnsi="Arial" w:cs="Arial"/>
          <w:bCs/>
        </w:rPr>
        <w:t>Referred to the Planning board for their review and recommendation by a roll call vote of 11 yeas, 0 nays and 0 absent</w:t>
      </w:r>
    </w:p>
    <w:p w14:paraId="16080840" w14:textId="3AA74880" w:rsidR="00680F04" w:rsidRPr="006604E8" w:rsidRDefault="00680F04" w:rsidP="006A4B5D">
      <w:pPr>
        <w:pStyle w:val="NoSpacing"/>
        <w:rPr>
          <w:rFonts w:ascii="Arial" w:hAnsi="Arial" w:cs="Arial"/>
          <w:bCs/>
        </w:rPr>
      </w:pPr>
      <w:r w:rsidRPr="006604E8">
        <w:rPr>
          <w:rFonts w:ascii="Arial" w:hAnsi="Arial" w:cs="Arial"/>
          <w:bCs/>
        </w:rPr>
        <w:t>In City Council April 8, 2021</w:t>
      </w:r>
    </w:p>
    <w:p w14:paraId="3E953762" w14:textId="765E3AC4" w:rsidR="00680F04" w:rsidRPr="006604E8" w:rsidRDefault="00680F04" w:rsidP="006A4B5D">
      <w:pPr>
        <w:pStyle w:val="NoSpacing"/>
        <w:rPr>
          <w:rFonts w:ascii="Arial" w:hAnsi="Arial" w:cs="Arial"/>
          <w:bCs/>
        </w:rPr>
      </w:pPr>
      <w:r w:rsidRPr="006604E8">
        <w:rPr>
          <w:rFonts w:ascii="Arial" w:hAnsi="Arial" w:cs="Arial"/>
          <w:bCs/>
        </w:rPr>
        <w:t>Referred to the Committee on Ordinances, Licenses and Legal Affairs co-posted by the Committee of the Whole and invite the Zoning Enforcement Officer</w:t>
      </w:r>
    </w:p>
    <w:p w14:paraId="1801766E" w14:textId="77CD2930" w:rsidR="00680F04" w:rsidRPr="006604E8" w:rsidRDefault="00680F04" w:rsidP="006A4B5D">
      <w:pPr>
        <w:pStyle w:val="NoSpacing"/>
        <w:rPr>
          <w:rFonts w:ascii="Arial" w:hAnsi="Arial" w:cs="Arial"/>
          <w:bCs/>
        </w:rPr>
      </w:pPr>
      <w:r w:rsidRPr="006604E8">
        <w:rPr>
          <w:rFonts w:ascii="Arial" w:hAnsi="Arial" w:cs="Arial"/>
          <w:bCs/>
        </w:rPr>
        <w:t>In City Council April 22, 2021</w:t>
      </w:r>
    </w:p>
    <w:p w14:paraId="14B21751" w14:textId="29DD317E" w:rsidR="00680F04" w:rsidRPr="006604E8" w:rsidRDefault="00680F04" w:rsidP="006A4B5D">
      <w:pPr>
        <w:pStyle w:val="NoSpacing"/>
        <w:rPr>
          <w:rFonts w:ascii="Arial" w:hAnsi="Arial" w:cs="Arial"/>
          <w:bCs/>
        </w:rPr>
      </w:pPr>
      <w:r w:rsidRPr="006604E8">
        <w:rPr>
          <w:rFonts w:ascii="Arial" w:hAnsi="Arial" w:cs="Arial"/>
          <w:bCs/>
        </w:rPr>
        <w:t>Motion to strike section to allow one affordable accessory dwelling unit per dwelling unit was denied by a roll call vote of 4 yeas, 7 nays and 0 absent</w:t>
      </w:r>
    </w:p>
    <w:p w14:paraId="25C080AC" w14:textId="04DB655D" w:rsidR="00680F04" w:rsidRPr="006604E8" w:rsidRDefault="00680F04" w:rsidP="006A4B5D">
      <w:pPr>
        <w:pStyle w:val="NoSpacing"/>
        <w:rPr>
          <w:rFonts w:ascii="Arial" w:hAnsi="Arial" w:cs="Arial"/>
          <w:bCs/>
        </w:rPr>
      </w:pPr>
      <w:r w:rsidRPr="006604E8">
        <w:rPr>
          <w:rFonts w:ascii="Arial" w:hAnsi="Arial" w:cs="Arial"/>
          <w:bCs/>
        </w:rPr>
        <w:t>Adopted as amended for first passage by a roll call vote of 7 yeas, 4 nays and 0 absent</w:t>
      </w:r>
    </w:p>
    <w:p w14:paraId="6FCC4A5E" w14:textId="23D2D5FC" w:rsidR="00680F04" w:rsidRPr="006604E8" w:rsidRDefault="00680F04" w:rsidP="006A4B5D">
      <w:pPr>
        <w:pStyle w:val="NoSpacing"/>
        <w:rPr>
          <w:rFonts w:ascii="Arial" w:hAnsi="Arial" w:cs="Arial"/>
          <w:bCs/>
        </w:rPr>
      </w:pPr>
      <w:r w:rsidRPr="006604E8">
        <w:rPr>
          <w:rFonts w:ascii="Arial" w:hAnsi="Arial" w:cs="Arial"/>
          <w:bCs/>
        </w:rPr>
        <w:lastRenderedPageBreak/>
        <w:t>In City Council May 13, 2021</w:t>
      </w:r>
    </w:p>
    <w:p w14:paraId="6A67EB6D" w14:textId="4C74F3A0" w:rsidR="00680F04" w:rsidRPr="006604E8" w:rsidRDefault="00680F04" w:rsidP="006A4B5D">
      <w:pPr>
        <w:pStyle w:val="NoSpacing"/>
        <w:rPr>
          <w:rFonts w:ascii="Arial" w:hAnsi="Arial" w:cs="Arial"/>
          <w:bCs/>
        </w:rPr>
      </w:pPr>
      <w:r w:rsidRPr="006604E8">
        <w:rPr>
          <w:rFonts w:ascii="Arial" w:hAnsi="Arial" w:cs="Arial"/>
          <w:bCs/>
        </w:rPr>
        <w:t>Motion to refer the matter back to the Committee on Ordinances, Licenses and Legal Affairs co-posted with the Committee of the Whole was denied by a roll call voter of 4 yeas, 7 nays and 0 absent</w:t>
      </w:r>
    </w:p>
    <w:p w14:paraId="3DB3283A" w14:textId="73D52FEA" w:rsidR="00680F04" w:rsidRPr="006604E8" w:rsidRDefault="00680F04" w:rsidP="006A4B5D">
      <w:pPr>
        <w:pStyle w:val="NoSpacing"/>
        <w:rPr>
          <w:rFonts w:ascii="Arial" w:hAnsi="Arial" w:cs="Arial"/>
          <w:bCs/>
        </w:rPr>
      </w:pPr>
      <w:r w:rsidRPr="006604E8">
        <w:rPr>
          <w:rFonts w:ascii="Arial" w:hAnsi="Arial" w:cs="Arial"/>
          <w:bCs/>
        </w:rPr>
        <w:t>Motion to Lay it on the Table was adopted by a roll call vote of 11 yeas, 0 nays and 0 absent</w:t>
      </w:r>
    </w:p>
    <w:p w14:paraId="549C16DF" w14:textId="07C16B1C" w:rsidR="00680F04" w:rsidRPr="006604E8" w:rsidRDefault="00680F04" w:rsidP="006A4B5D">
      <w:pPr>
        <w:pStyle w:val="NoSpacing"/>
        <w:rPr>
          <w:rFonts w:ascii="Arial" w:hAnsi="Arial" w:cs="Arial"/>
          <w:bCs/>
        </w:rPr>
      </w:pPr>
      <w:r w:rsidRPr="006604E8">
        <w:rPr>
          <w:rFonts w:ascii="Arial" w:hAnsi="Arial" w:cs="Arial"/>
          <w:bCs/>
        </w:rPr>
        <w:t>In City Council May 27, 2021</w:t>
      </w:r>
    </w:p>
    <w:p w14:paraId="29769663" w14:textId="7049E5C3" w:rsidR="00680F04" w:rsidRPr="006604E8" w:rsidRDefault="00680F04" w:rsidP="006A4B5D">
      <w:pPr>
        <w:pStyle w:val="NoSpacing"/>
        <w:rPr>
          <w:rFonts w:ascii="Arial" w:hAnsi="Arial" w:cs="Arial"/>
          <w:bCs/>
        </w:rPr>
      </w:pPr>
      <w:r w:rsidRPr="006604E8">
        <w:rPr>
          <w:rFonts w:ascii="Arial" w:hAnsi="Arial" w:cs="Arial"/>
          <w:bCs/>
        </w:rPr>
        <w:t xml:space="preserve">Motion to take from the table was adopted by a roll call vote of 11 yea, </w:t>
      </w:r>
      <w:r w:rsidR="0026482C" w:rsidRPr="006604E8">
        <w:rPr>
          <w:rFonts w:ascii="Arial" w:hAnsi="Arial" w:cs="Arial"/>
          <w:bCs/>
        </w:rPr>
        <w:t>0</w:t>
      </w:r>
      <w:r w:rsidRPr="006604E8">
        <w:rPr>
          <w:rFonts w:ascii="Arial" w:hAnsi="Arial" w:cs="Arial"/>
          <w:bCs/>
        </w:rPr>
        <w:t xml:space="preserve"> nays and 0 absent</w:t>
      </w:r>
    </w:p>
    <w:p w14:paraId="020E275B" w14:textId="6317CD7E" w:rsidR="00680F04" w:rsidRPr="006604E8" w:rsidRDefault="00680F04" w:rsidP="006A4B5D">
      <w:pPr>
        <w:pStyle w:val="NoSpacing"/>
        <w:rPr>
          <w:rFonts w:ascii="Arial" w:hAnsi="Arial" w:cs="Arial"/>
          <w:bCs/>
        </w:rPr>
      </w:pPr>
      <w:r w:rsidRPr="006604E8">
        <w:rPr>
          <w:rFonts w:ascii="Arial" w:hAnsi="Arial" w:cs="Arial"/>
          <w:bCs/>
        </w:rPr>
        <w:t xml:space="preserve">Motion to amend 4(A)(3), 5(A) and 5(S) </w:t>
      </w:r>
      <w:r w:rsidR="0026482C" w:rsidRPr="006604E8">
        <w:rPr>
          <w:rFonts w:ascii="Arial" w:hAnsi="Arial" w:cs="Arial"/>
          <w:bCs/>
        </w:rPr>
        <w:t>was superseded by a motion to divide the question and remove 5(A)</w:t>
      </w:r>
    </w:p>
    <w:p w14:paraId="06070620" w14:textId="6D0CA73D" w:rsidR="00680F04" w:rsidRPr="006604E8" w:rsidRDefault="00680F04" w:rsidP="006A4B5D">
      <w:pPr>
        <w:pStyle w:val="NoSpacing"/>
        <w:rPr>
          <w:rFonts w:ascii="Arial" w:hAnsi="Arial" w:cs="Arial"/>
          <w:bCs/>
        </w:rPr>
      </w:pPr>
      <w:r w:rsidRPr="006604E8">
        <w:rPr>
          <w:rFonts w:ascii="Arial" w:hAnsi="Arial" w:cs="Arial"/>
          <w:bCs/>
        </w:rPr>
        <w:t xml:space="preserve">Motion to </w:t>
      </w:r>
      <w:r w:rsidR="0026482C" w:rsidRPr="006604E8">
        <w:rPr>
          <w:rFonts w:ascii="Arial" w:hAnsi="Arial" w:cs="Arial"/>
          <w:bCs/>
        </w:rPr>
        <w:t>amend 4(A)(3) and 5(S) w</w:t>
      </w:r>
      <w:r w:rsidRPr="006604E8">
        <w:rPr>
          <w:rFonts w:ascii="Arial" w:hAnsi="Arial" w:cs="Arial"/>
          <w:bCs/>
        </w:rPr>
        <w:t>as adopted by a roll call vote of 10 yeas, 0 nays and 1 absent</w:t>
      </w:r>
    </w:p>
    <w:p w14:paraId="4B8EF847" w14:textId="1978C77F" w:rsidR="00680F04" w:rsidRPr="006604E8" w:rsidRDefault="00680F04" w:rsidP="006A4B5D">
      <w:pPr>
        <w:pStyle w:val="NoSpacing"/>
        <w:rPr>
          <w:rFonts w:ascii="Arial" w:hAnsi="Arial" w:cs="Arial"/>
          <w:bCs/>
        </w:rPr>
      </w:pPr>
      <w:r w:rsidRPr="006604E8">
        <w:rPr>
          <w:rFonts w:ascii="Arial" w:hAnsi="Arial" w:cs="Arial"/>
          <w:bCs/>
        </w:rPr>
        <w:t>Motion to amend 5(A) did not carry by a roll call vote of 7 yeas, 4 nays and 0 absent</w:t>
      </w:r>
    </w:p>
    <w:p w14:paraId="498A2230" w14:textId="72A2C919" w:rsidR="0026482C" w:rsidRPr="006604E8" w:rsidRDefault="0026482C" w:rsidP="006A4B5D">
      <w:pPr>
        <w:pStyle w:val="NoSpacing"/>
        <w:rPr>
          <w:rFonts w:ascii="Arial" w:hAnsi="Arial" w:cs="Arial"/>
          <w:bCs/>
        </w:rPr>
      </w:pPr>
      <w:r w:rsidRPr="006604E8">
        <w:rPr>
          <w:rFonts w:ascii="Arial" w:hAnsi="Arial" w:cs="Arial"/>
          <w:bCs/>
        </w:rPr>
        <w:t>Adopted as amended for second passage by a roll call vote of 7 yeas, 4 nays and 0 absent</w:t>
      </w:r>
    </w:p>
    <w:p w14:paraId="6A09A782" w14:textId="326762AB" w:rsidR="0026482C" w:rsidRPr="006604E8" w:rsidRDefault="0026482C" w:rsidP="006A4B5D">
      <w:pPr>
        <w:pStyle w:val="NoSpacing"/>
        <w:rPr>
          <w:rFonts w:ascii="Arial" w:hAnsi="Arial" w:cs="Arial"/>
          <w:bCs/>
        </w:rPr>
      </w:pPr>
      <w:r w:rsidRPr="006604E8">
        <w:rPr>
          <w:rFonts w:ascii="Arial" w:hAnsi="Arial" w:cs="Arial"/>
          <w:bCs/>
        </w:rPr>
        <w:t>Motion for Immediate Reconsideration in hopes it does not prevail was denied</w:t>
      </w:r>
    </w:p>
    <w:p w14:paraId="43411755" w14:textId="588FCF1F" w:rsidR="0026482C" w:rsidRPr="006604E8" w:rsidRDefault="0026482C" w:rsidP="006A4B5D">
      <w:pPr>
        <w:pStyle w:val="NoSpacing"/>
        <w:rPr>
          <w:rFonts w:ascii="Arial" w:hAnsi="Arial" w:cs="Arial"/>
          <w:bCs/>
        </w:rPr>
      </w:pPr>
      <w:r w:rsidRPr="006604E8">
        <w:rPr>
          <w:rFonts w:ascii="Arial" w:hAnsi="Arial" w:cs="Arial"/>
          <w:bCs/>
        </w:rPr>
        <w:t>Approved by the Mayor on</w:t>
      </w:r>
      <w:r w:rsidR="000E3671">
        <w:rPr>
          <w:rFonts w:ascii="Arial" w:hAnsi="Arial" w:cs="Arial"/>
          <w:bCs/>
        </w:rPr>
        <w:t xml:space="preserve"> June 1, 2021</w:t>
      </w:r>
    </w:p>
    <w:p w14:paraId="290C1284" w14:textId="4F2F2AAB" w:rsidR="0026482C" w:rsidRPr="006604E8" w:rsidRDefault="0026482C" w:rsidP="006A4B5D">
      <w:pPr>
        <w:pStyle w:val="NoSpacing"/>
        <w:rPr>
          <w:rFonts w:ascii="Arial" w:hAnsi="Arial" w:cs="Arial"/>
          <w:bCs/>
        </w:rPr>
      </w:pPr>
    </w:p>
    <w:p w14:paraId="5F84BE5B" w14:textId="03747164" w:rsidR="0026482C" w:rsidRPr="006604E8" w:rsidRDefault="00DE1F96" w:rsidP="006A4B5D">
      <w:pPr>
        <w:pStyle w:val="NoSpacing"/>
        <w:rPr>
          <w:rFonts w:ascii="Arial" w:hAnsi="Arial" w:cs="Arial"/>
          <w:bCs/>
        </w:rPr>
      </w:pPr>
      <w:r>
        <w:rPr>
          <w:rFonts w:ascii="Arial" w:hAnsi="Arial" w:cs="Arial"/>
          <w:bCs/>
        </w:rPr>
        <w:t>Any claims of invalidity by reason of any defect in the procedure of adoption may only be made withing ninety days after the posting of the second publication.</w:t>
      </w:r>
    </w:p>
    <w:p w14:paraId="2727FB86" w14:textId="29D54978" w:rsidR="0026482C" w:rsidRDefault="0026482C" w:rsidP="006A4B5D">
      <w:pPr>
        <w:pStyle w:val="NoSpacing"/>
        <w:rPr>
          <w:rFonts w:ascii="Arial" w:hAnsi="Arial" w:cs="Arial"/>
          <w:bCs/>
        </w:rPr>
      </w:pPr>
    </w:p>
    <w:p w14:paraId="6847422D" w14:textId="77777777" w:rsidR="00A6744E" w:rsidRPr="006604E8" w:rsidRDefault="00A6744E" w:rsidP="006A4B5D">
      <w:pPr>
        <w:pStyle w:val="NoSpacing"/>
        <w:rPr>
          <w:rFonts w:ascii="Arial" w:hAnsi="Arial" w:cs="Arial"/>
          <w:bCs/>
        </w:rPr>
      </w:pPr>
    </w:p>
    <w:p w14:paraId="612CBF58" w14:textId="0CB5750E" w:rsidR="0026482C" w:rsidRPr="006604E8" w:rsidRDefault="0026482C" w:rsidP="006A4B5D">
      <w:pPr>
        <w:pStyle w:val="NoSpacing"/>
        <w:rPr>
          <w:rFonts w:ascii="Arial" w:hAnsi="Arial" w:cs="Arial"/>
          <w:bCs/>
        </w:rPr>
      </w:pPr>
    </w:p>
    <w:p w14:paraId="285844A6" w14:textId="5D4E4E5F" w:rsidR="0026482C" w:rsidRPr="006604E8" w:rsidRDefault="0026482C" w:rsidP="006A4B5D">
      <w:pPr>
        <w:pStyle w:val="NoSpacing"/>
        <w:rPr>
          <w:rFonts w:ascii="Arial" w:hAnsi="Arial" w:cs="Arial"/>
          <w:bCs/>
        </w:rPr>
      </w:pPr>
    </w:p>
    <w:p w14:paraId="202189F3" w14:textId="1F12DD93" w:rsidR="0026482C" w:rsidRPr="006604E8" w:rsidRDefault="0026482C" w:rsidP="006A4B5D">
      <w:pPr>
        <w:pStyle w:val="NoSpacing"/>
        <w:rPr>
          <w:rFonts w:ascii="Arial" w:hAnsi="Arial" w:cs="Arial"/>
          <w:bCs/>
        </w:rPr>
      </w:pPr>
      <w:r w:rsidRPr="006604E8">
        <w:rPr>
          <w:rFonts w:ascii="Arial" w:hAnsi="Arial" w:cs="Arial"/>
          <w:bCs/>
        </w:rPr>
        <w:t>ATTEST:</w:t>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t>ILENE SIMONS</w:t>
      </w:r>
    </w:p>
    <w:p w14:paraId="1744FD53" w14:textId="4D26DA7E" w:rsidR="0026482C" w:rsidRDefault="0026482C" w:rsidP="006A4B5D">
      <w:pPr>
        <w:pStyle w:val="NoSpacing"/>
        <w:rPr>
          <w:rFonts w:ascii="Arial" w:hAnsi="Arial" w:cs="Arial"/>
          <w:bCs/>
        </w:rPr>
      </w:pP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r>
      <w:r w:rsidRPr="006604E8">
        <w:rPr>
          <w:rFonts w:ascii="Arial" w:hAnsi="Arial" w:cs="Arial"/>
          <w:bCs/>
        </w:rPr>
        <w:tab/>
        <w:t>CITY CLERK</w:t>
      </w:r>
    </w:p>
    <w:p w14:paraId="6698E239" w14:textId="122B855E" w:rsidR="00E36ED9" w:rsidRDefault="00E36ED9" w:rsidP="006A4B5D">
      <w:pPr>
        <w:pStyle w:val="NoSpacing"/>
        <w:rPr>
          <w:rFonts w:ascii="Arial" w:hAnsi="Arial" w:cs="Arial"/>
          <w:bCs/>
        </w:rPr>
      </w:pPr>
    </w:p>
    <w:p w14:paraId="2AA826C4" w14:textId="000F7072" w:rsidR="00E36ED9" w:rsidRPr="006604E8" w:rsidRDefault="00E36ED9" w:rsidP="006A4B5D">
      <w:pPr>
        <w:pStyle w:val="NoSpacing"/>
        <w:rPr>
          <w:rFonts w:ascii="Arial" w:hAnsi="Arial" w:cs="Arial"/>
          <w:bCs/>
        </w:rPr>
      </w:pPr>
      <w:r>
        <w:rPr>
          <w:rFonts w:ascii="Arial" w:hAnsi="Arial" w:cs="Arial"/>
          <w:bCs/>
        </w:rPr>
        <w:t>Adv:  June 9, 2021</w:t>
      </w:r>
    </w:p>
    <w:sectPr w:rsidR="00E36ED9" w:rsidRPr="006604E8" w:rsidSect="00DB3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6387" w14:textId="77777777" w:rsidR="00230E2F" w:rsidRDefault="00230E2F" w:rsidP="009B080C">
      <w:pPr>
        <w:spacing w:after="0" w:line="240" w:lineRule="auto"/>
      </w:pPr>
      <w:r>
        <w:separator/>
      </w:r>
    </w:p>
  </w:endnote>
  <w:endnote w:type="continuationSeparator" w:id="0">
    <w:p w14:paraId="6F85CFEF" w14:textId="77777777" w:rsidR="00230E2F" w:rsidRDefault="00230E2F" w:rsidP="009B080C">
      <w:pPr>
        <w:spacing w:after="0" w:line="240" w:lineRule="auto"/>
      </w:pPr>
      <w:r>
        <w:continuationSeparator/>
      </w:r>
    </w:p>
  </w:endnote>
  <w:endnote w:type="continuationNotice" w:id="1">
    <w:p w14:paraId="05731524" w14:textId="77777777" w:rsidR="00230E2F" w:rsidRDefault="00230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3428" w14:textId="77777777" w:rsidR="00DD624A" w:rsidRDefault="00DD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2B80" w14:textId="77777777" w:rsidR="00230E2F" w:rsidRDefault="00230E2F" w:rsidP="009B080C">
      <w:pPr>
        <w:spacing w:after="0" w:line="240" w:lineRule="auto"/>
      </w:pPr>
      <w:r>
        <w:separator/>
      </w:r>
    </w:p>
  </w:footnote>
  <w:footnote w:type="continuationSeparator" w:id="0">
    <w:p w14:paraId="29EC347D" w14:textId="77777777" w:rsidR="00230E2F" w:rsidRDefault="00230E2F" w:rsidP="009B080C">
      <w:pPr>
        <w:spacing w:after="0" w:line="240" w:lineRule="auto"/>
      </w:pPr>
      <w:r>
        <w:continuationSeparator/>
      </w:r>
    </w:p>
  </w:footnote>
  <w:footnote w:type="continuationNotice" w:id="1">
    <w:p w14:paraId="3C67165D" w14:textId="77777777" w:rsidR="00230E2F" w:rsidRDefault="00230E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A5FB" w14:textId="77777777" w:rsidR="00DD624A" w:rsidRDefault="00DD6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BD5"/>
    <w:multiLevelType w:val="hybridMultilevel"/>
    <w:tmpl w:val="96EEA3CE"/>
    <w:lvl w:ilvl="0" w:tplc="9482AD9E">
      <w:start w:val="1"/>
      <w:numFmt w:val="upperLetter"/>
      <w:lvlText w:val="%1."/>
      <w:lvlJc w:val="left"/>
      <w:pPr>
        <w:ind w:left="1152" w:hanging="360"/>
      </w:pPr>
      <w:rPr>
        <w:strike w:val="0"/>
        <w:color w:val="auto"/>
      </w:rPr>
    </w:lvl>
    <w:lvl w:ilvl="1" w:tplc="8604C398">
      <w:start w:val="1"/>
      <w:numFmt w:val="lowerLetter"/>
      <w:lvlText w:val="%2."/>
      <w:lvlJc w:val="left"/>
      <w:pPr>
        <w:ind w:left="1872" w:hanging="360"/>
      </w:pPr>
      <w:rPr>
        <w:rFonts w:ascii="Arial" w:hAnsi="Arial" w:cs="Arial" w:hint="default"/>
        <w:sz w:val="20"/>
        <w:szCs w:val="20"/>
      </w:r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1" w15:restartNumberingAfterBreak="0">
    <w:nsid w:val="0881731D"/>
    <w:multiLevelType w:val="hybridMultilevel"/>
    <w:tmpl w:val="249A8370"/>
    <w:lvl w:ilvl="0" w:tplc="A89AA706">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5608C"/>
    <w:multiLevelType w:val="hybridMultilevel"/>
    <w:tmpl w:val="5A143DB0"/>
    <w:lvl w:ilvl="0" w:tplc="04090015">
      <w:start w:val="1"/>
      <w:numFmt w:val="upperLetter"/>
      <w:lvlText w:val="%1."/>
      <w:lvlJc w:val="left"/>
      <w:pPr>
        <w:ind w:left="1152" w:hanging="360"/>
      </w:pPr>
    </w:lvl>
    <w:lvl w:ilvl="1" w:tplc="8604C398">
      <w:start w:val="1"/>
      <w:numFmt w:val="lowerLetter"/>
      <w:lvlText w:val="%2."/>
      <w:lvlJc w:val="left"/>
      <w:pPr>
        <w:ind w:left="1872" w:hanging="360"/>
      </w:pPr>
      <w:rPr>
        <w:rFonts w:ascii="Arial" w:hAnsi="Arial" w:cs="Arial" w:hint="default"/>
        <w:sz w:val="20"/>
        <w:szCs w:val="20"/>
      </w:r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 w15:restartNumberingAfterBreak="0">
    <w:nsid w:val="21FF5FB7"/>
    <w:multiLevelType w:val="hybridMultilevel"/>
    <w:tmpl w:val="94CCE218"/>
    <w:lvl w:ilvl="0" w:tplc="252A318E">
      <w:start w:val="1"/>
      <w:numFmt w:val="upperLetter"/>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273B3BF0"/>
    <w:multiLevelType w:val="hybridMultilevel"/>
    <w:tmpl w:val="5746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2261F9"/>
    <w:multiLevelType w:val="hybridMultilevel"/>
    <w:tmpl w:val="442C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452F5"/>
    <w:multiLevelType w:val="hybridMultilevel"/>
    <w:tmpl w:val="FAB8E9A6"/>
    <w:lvl w:ilvl="0" w:tplc="0409000F">
      <w:start w:val="1"/>
      <w:numFmt w:val="decimal"/>
      <w:lvlText w:val="%1."/>
      <w:lvlJc w:val="left"/>
      <w:pPr>
        <w:ind w:left="1152" w:hanging="360"/>
      </w:pPr>
    </w:lvl>
    <w:lvl w:ilvl="1" w:tplc="34B0A2FE">
      <w:start w:val="1"/>
      <w:numFmt w:val="upperLetter"/>
      <w:lvlText w:val="%2."/>
      <w:lvlJc w:val="left"/>
      <w:pPr>
        <w:ind w:left="1872" w:hanging="360"/>
      </w:pPr>
      <w:rPr>
        <w:rFonts w:ascii="Times New Roman" w:hAnsi="Times New Roman" w:cs="Times New Roman" w:hint="default"/>
        <w:sz w:val="24"/>
        <w:szCs w:val="24"/>
      </w:rPr>
    </w:lvl>
    <w:lvl w:ilvl="2" w:tplc="04090019">
      <w:start w:val="1"/>
      <w:numFmt w:val="lowerLetter"/>
      <w:lvlText w:val="%3."/>
      <w:lvlJc w:val="lef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7" w15:restartNumberingAfterBreak="0">
    <w:nsid w:val="427B26CB"/>
    <w:multiLevelType w:val="hybridMultilevel"/>
    <w:tmpl w:val="22C8AED8"/>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8" w15:restartNumberingAfterBreak="0">
    <w:nsid w:val="4C046906"/>
    <w:multiLevelType w:val="hybridMultilevel"/>
    <w:tmpl w:val="986AAB2A"/>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9" w15:restartNumberingAfterBreak="0">
    <w:nsid w:val="5B1F07DC"/>
    <w:multiLevelType w:val="hybridMultilevel"/>
    <w:tmpl w:val="5A143DB0"/>
    <w:lvl w:ilvl="0" w:tplc="04090015">
      <w:start w:val="1"/>
      <w:numFmt w:val="upperLetter"/>
      <w:lvlText w:val="%1."/>
      <w:lvlJc w:val="left"/>
      <w:pPr>
        <w:ind w:left="1152" w:hanging="360"/>
      </w:pPr>
    </w:lvl>
    <w:lvl w:ilvl="1" w:tplc="8604C398">
      <w:start w:val="1"/>
      <w:numFmt w:val="lowerLetter"/>
      <w:lvlText w:val="%2."/>
      <w:lvlJc w:val="left"/>
      <w:pPr>
        <w:ind w:left="1872" w:hanging="360"/>
      </w:pPr>
      <w:rPr>
        <w:rFonts w:ascii="Arial" w:hAnsi="Arial" w:cs="Arial" w:hint="default"/>
        <w:sz w:val="20"/>
        <w:szCs w:val="20"/>
      </w:r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10" w15:restartNumberingAfterBreak="0">
    <w:nsid w:val="64014EB2"/>
    <w:multiLevelType w:val="hybridMultilevel"/>
    <w:tmpl w:val="5796957C"/>
    <w:lvl w:ilvl="0" w:tplc="04090015">
      <w:start w:val="1"/>
      <w:numFmt w:val="upperLetter"/>
      <w:lvlText w:val="%1."/>
      <w:lvlJc w:val="left"/>
      <w:pPr>
        <w:ind w:left="1152" w:hanging="360"/>
      </w:pPr>
    </w:lvl>
    <w:lvl w:ilvl="1" w:tplc="04090019">
      <w:start w:val="1"/>
      <w:numFmt w:val="lowerLetter"/>
      <w:lvlText w:val="%2."/>
      <w:lvlJc w:val="left"/>
      <w:pPr>
        <w:ind w:left="1872" w:hanging="360"/>
      </w:pPr>
      <w:rPr>
        <w:sz w:val="20"/>
        <w:szCs w:val="20"/>
      </w:r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11" w15:restartNumberingAfterBreak="0">
    <w:nsid w:val="6A0E6C9E"/>
    <w:multiLevelType w:val="hybridMultilevel"/>
    <w:tmpl w:val="93047D72"/>
    <w:lvl w:ilvl="0" w:tplc="8604C398">
      <w:start w:val="1"/>
      <w:numFmt w:val="lowerLetter"/>
      <w:lvlText w:val="%1."/>
      <w:lvlJc w:val="left"/>
      <w:pPr>
        <w:ind w:left="1872"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42BC43-B3D9-4D36-A833-A6A4FDC65EB6}"/>
    <w:docVar w:name="dgnword-eventsink" w:val="1299925568"/>
  </w:docVars>
  <w:rsids>
    <w:rsidRoot w:val="007833BE"/>
    <w:rsid w:val="00012472"/>
    <w:rsid w:val="0001650C"/>
    <w:rsid w:val="00036B7F"/>
    <w:rsid w:val="0004386D"/>
    <w:rsid w:val="000456B5"/>
    <w:rsid w:val="00054882"/>
    <w:rsid w:val="00090523"/>
    <w:rsid w:val="000A79D7"/>
    <w:rsid w:val="000D2334"/>
    <w:rsid w:val="000E3671"/>
    <w:rsid w:val="00104D0E"/>
    <w:rsid w:val="00106B43"/>
    <w:rsid w:val="001075A8"/>
    <w:rsid w:val="00145EA3"/>
    <w:rsid w:val="0014616B"/>
    <w:rsid w:val="00147090"/>
    <w:rsid w:val="001515D0"/>
    <w:rsid w:val="001A2ACA"/>
    <w:rsid w:val="001A5502"/>
    <w:rsid w:val="001A78C2"/>
    <w:rsid w:val="001C0CC7"/>
    <w:rsid w:val="001F2AE4"/>
    <w:rsid w:val="001F5E01"/>
    <w:rsid w:val="002028A2"/>
    <w:rsid w:val="00204376"/>
    <w:rsid w:val="00214366"/>
    <w:rsid w:val="00214C6A"/>
    <w:rsid w:val="0022435E"/>
    <w:rsid w:val="00230E2F"/>
    <w:rsid w:val="002478CD"/>
    <w:rsid w:val="0026482C"/>
    <w:rsid w:val="0028755B"/>
    <w:rsid w:val="002A1489"/>
    <w:rsid w:val="002C5B92"/>
    <w:rsid w:val="002D5918"/>
    <w:rsid w:val="002E5024"/>
    <w:rsid w:val="002F2BC0"/>
    <w:rsid w:val="003066A7"/>
    <w:rsid w:val="0033658B"/>
    <w:rsid w:val="00345C18"/>
    <w:rsid w:val="003606B1"/>
    <w:rsid w:val="003A1E09"/>
    <w:rsid w:val="003E77DD"/>
    <w:rsid w:val="0042285F"/>
    <w:rsid w:val="004321EB"/>
    <w:rsid w:val="0045675C"/>
    <w:rsid w:val="004575F9"/>
    <w:rsid w:val="00462E3F"/>
    <w:rsid w:val="004803BC"/>
    <w:rsid w:val="004A2701"/>
    <w:rsid w:val="004A6B30"/>
    <w:rsid w:val="004B4F59"/>
    <w:rsid w:val="004E240B"/>
    <w:rsid w:val="005121F5"/>
    <w:rsid w:val="00517CB1"/>
    <w:rsid w:val="00551806"/>
    <w:rsid w:val="00594EFB"/>
    <w:rsid w:val="00596712"/>
    <w:rsid w:val="005A200E"/>
    <w:rsid w:val="005C665E"/>
    <w:rsid w:val="005F169D"/>
    <w:rsid w:val="00615E58"/>
    <w:rsid w:val="00616524"/>
    <w:rsid w:val="006212A5"/>
    <w:rsid w:val="0063210C"/>
    <w:rsid w:val="00654477"/>
    <w:rsid w:val="006604E8"/>
    <w:rsid w:val="00661918"/>
    <w:rsid w:val="00672D5E"/>
    <w:rsid w:val="00676991"/>
    <w:rsid w:val="00680F04"/>
    <w:rsid w:val="006824F1"/>
    <w:rsid w:val="00683E65"/>
    <w:rsid w:val="006A4B5D"/>
    <w:rsid w:val="006B61AC"/>
    <w:rsid w:val="006E7A98"/>
    <w:rsid w:val="007127DB"/>
    <w:rsid w:val="00732E0B"/>
    <w:rsid w:val="00734A17"/>
    <w:rsid w:val="007466F2"/>
    <w:rsid w:val="00760B3B"/>
    <w:rsid w:val="007833BE"/>
    <w:rsid w:val="00793491"/>
    <w:rsid w:val="007D6E97"/>
    <w:rsid w:val="007F496B"/>
    <w:rsid w:val="00804462"/>
    <w:rsid w:val="00824EF9"/>
    <w:rsid w:val="0083696C"/>
    <w:rsid w:val="0085058B"/>
    <w:rsid w:val="008516A5"/>
    <w:rsid w:val="00866602"/>
    <w:rsid w:val="0088601E"/>
    <w:rsid w:val="008B7D13"/>
    <w:rsid w:val="008C62B4"/>
    <w:rsid w:val="008D77AB"/>
    <w:rsid w:val="008E67E8"/>
    <w:rsid w:val="009036B5"/>
    <w:rsid w:val="009175AB"/>
    <w:rsid w:val="00920994"/>
    <w:rsid w:val="00936C44"/>
    <w:rsid w:val="00937A5E"/>
    <w:rsid w:val="00937C3F"/>
    <w:rsid w:val="00943470"/>
    <w:rsid w:val="0094601B"/>
    <w:rsid w:val="009462B4"/>
    <w:rsid w:val="009547C5"/>
    <w:rsid w:val="00961AF6"/>
    <w:rsid w:val="009748EF"/>
    <w:rsid w:val="009912DB"/>
    <w:rsid w:val="009B080C"/>
    <w:rsid w:val="009B304F"/>
    <w:rsid w:val="009B5204"/>
    <w:rsid w:val="009D2624"/>
    <w:rsid w:val="00A40D2E"/>
    <w:rsid w:val="00A54244"/>
    <w:rsid w:val="00A64E68"/>
    <w:rsid w:val="00A6744E"/>
    <w:rsid w:val="00A71444"/>
    <w:rsid w:val="00A731AB"/>
    <w:rsid w:val="00A92F20"/>
    <w:rsid w:val="00AB2DA1"/>
    <w:rsid w:val="00AF0290"/>
    <w:rsid w:val="00AF1235"/>
    <w:rsid w:val="00B4407D"/>
    <w:rsid w:val="00B64BB2"/>
    <w:rsid w:val="00B82706"/>
    <w:rsid w:val="00BA7C68"/>
    <w:rsid w:val="00BB1AC8"/>
    <w:rsid w:val="00BB6DC7"/>
    <w:rsid w:val="00BC1F77"/>
    <w:rsid w:val="00BD2974"/>
    <w:rsid w:val="00BD5DA1"/>
    <w:rsid w:val="00BE5851"/>
    <w:rsid w:val="00C200F0"/>
    <w:rsid w:val="00C42ACF"/>
    <w:rsid w:val="00C77640"/>
    <w:rsid w:val="00C937A5"/>
    <w:rsid w:val="00CB1196"/>
    <w:rsid w:val="00CE236A"/>
    <w:rsid w:val="00CF1074"/>
    <w:rsid w:val="00CF20D0"/>
    <w:rsid w:val="00D02400"/>
    <w:rsid w:val="00D20F62"/>
    <w:rsid w:val="00D26D67"/>
    <w:rsid w:val="00D55DD1"/>
    <w:rsid w:val="00D72166"/>
    <w:rsid w:val="00D7332A"/>
    <w:rsid w:val="00D751AA"/>
    <w:rsid w:val="00D836B0"/>
    <w:rsid w:val="00D8657D"/>
    <w:rsid w:val="00DA3180"/>
    <w:rsid w:val="00DB3C71"/>
    <w:rsid w:val="00DC583D"/>
    <w:rsid w:val="00DD4749"/>
    <w:rsid w:val="00DD47A5"/>
    <w:rsid w:val="00DD5F60"/>
    <w:rsid w:val="00DD624A"/>
    <w:rsid w:val="00DE1F96"/>
    <w:rsid w:val="00DE437E"/>
    <w:rsid w:val="00DF32F9"/>
    <w:rsid w:val="00DF797A"/>
    <w:rsid w:val="00E0211B"/>
    <w:rsid w:val="00E36ED9"/>
    <w:rsid w:val="00E61339"/>
    <w:rsid w:val="00E912A0"/>
    <w:rsid w:val="00EB1438"/>
    <w:rsid w:val="00EC4EF5"/>
    <w:rsid w:val="00ED6837"/>
    <w:rsid w:val="00EE3637"/>
    <w:rsid w:val="00EF15B1"/>
    <w:rsid w:val="00EF6FCE"/>
    <w:rsid w:val="00F00565"/>
    <w:rsid w:val="00F10DDF"/>
    <w:rsid w:val="00F30138"/>
    <w:rsid w:val="00F3750E"/>
    <w:rsid w:val="00F41302"/>
    <w:rsid w:val="00F54EAC"/>
    <w:rsid w:val="00F6585E"/>
    <w:rsid w:val="00F923DC"/>
    <w:rsid w:val="00F94FB4"/>
    <w:rsid w:val="00F976F5"/>
    <w:rsid w:val="00FC332A"/>
    <w:rsid w:val="00FE21DA"/>
    <w:rsid w:val="00FF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A23F"/>
  <w15:docId w15:val="{F450E0FC-8043-4043-90D1-4DB88268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833BE"/>
    <w:pPr>
      <w:spacing w:line="240" w:lineRule="auto"/>
    </w:pPr>
    <w:rPr>
      <w:sz w:val="20"/>
      <w:szCs w:val="20"/>
    </w:rPr>
  </w:style>
  <w:style w:type="character" w:customStyle="1" w:styleId="CommentTextChar">
    <w:name w:val="Comment Text Char"/>
    <w:basedOn w:val="DefaultParagraphFont"/>
    <w:link w:val="CommentText"/>
    <w:uiPriority w:val="99"/>
    <w:semiHidden/>
    <w:rsid w:val="007833BE"/>
    <w:rPr>
      <w:sz w:val="20"/>
      <w:szCs w:val="20"/>
    </w:rPr>
  </w:style>
  <w:style w:type="paragraph" w:styleId="NoSpacing">
    <w:name w:val="No Spacing"/>
    <w:uiPriority w:val="1"/>
    <w:qFormat/>
    <w:rsid w:val="007833BE"/>
    <w:pPr>
      <w:spacing w:after="0" w:line="240" w:lineRule="auto"/>
    </w:pPr>
    <w:rPr>
      <w:rFonts w:ascii="Calibri" w:eastAsia="Calibri" w:hAnsi="Calibri" w:cs="Times New Roman"/>
    </w:rPr>
  </w:style>
  <w:style w:type="paragraph" w:styleId="ListParagraph">
    <w:name w:val="List Paragraph"/>
    <w:basedOn w:val="Normal"/>
    <w:uiPriority w:val="34"/>
    <w:qFormat/>
    <w:rsid w:val="007833BE"/>
    <w:pPr>
      <w:spacing w:after="200" w:line="276" w:lineRule="auto"/>
      <w:ind w:left="720"/>
      <w:contextualSpacing/>
    </w:pPr>
    <w:rPr>
      <w:rFonts w:ascii="Calibri" w:eastAsia="Calibri" w:hAnsi="Calibri" w:cs="Calibri"/>
    </w:rPr>
  </w:style>
  <w:style w:type="paragraph" w:customStyle="1" w:styleId="b0">
    <w:name w:val="b0"/>
    <w:basedOn w:val="Normal"/>
    <w:next w:val="Normal"/>
    <w:qFormat/>
    <w:rsid w:val="007833BE"/>
    <w:pPr>
      <w:spacing w:after="200" w:line="240" w:lineRule="auto"/>
      <w:jc w:val="both"/>
    </w:pPr>
    <w:rPr>
      <w:rFonts w:ascii="Arial" w:eastAsia="Arial" w:hAnsi="Arial" w:cs="Arial"/>
      <w:sz w:val="20"/>
      <w:szCs w:val="20"/>
    </w:rPr>
  </w:style>
  <w:style w:type="paragraph" w:customStyle="1" w:styleId="list1">
    <w:name w:val="list1"/>
    <w:basedOn w:val="Normal"/>
    <w:next w:val="Normal"/>
    <w:qFormat/>
    <w:rsid w:val="007833BE"/>
    <w:pPr>
      <w:spacing w:after="120" w:line="240" w:lineRule="auto"/>
      <w:ind w:left="864" w:hanging="432"/>
      <w:jc w:val="both"/>
    </w:pPr>
    <w:rPr>
      <w:rFonts w:ascii="Arial" w:eastAsia="Arial" w:hAnsi="Arial" w:cs="Arial"/>
      <w:sz w:val="20"/>
      <w:szCs w:val="20"/>
    </w:rPr>
  </w:style>
  <w:style w:type="paragraph" w:customStyle="1" w:styleId="b1">
    <w:name w:val="b1"/>
    <w:basedOn w:val="b0"/>
    <w:next w:val="Normal"/>
    <w:qFormat/>
    <w:rsid w:val="007833BE"/>
    <w:pPr>
      <w:ind w:left="432"/>
    </w:pPr>
  </w:style>
  <w:style w:type="character" w:styleId="CommentReference">
    <w:name w:val="annotation reference"/>
    <w:basedOn w:val="DefaultParagraphFont"/>
    <w:uiPriority w:val="99"/>
    <w:semiHidden/>
    <w:unhideWhenUsed/>
    <w:rsid w:val="007833BE"/>
    <w:rPr>
      <w:sz w:val="16"/>
      <w:szCs w:val="16"/>
    </w:rPr>
  </w:style>
  <w:style w:type="paragraph" w:styleId="List2">
    <w:name w:val="List 2"/>
    <w:basedOn w:val="list1"/>
    <w:next w:val="Normal"/>
    <w:unhideWhenUsed/>
    <w:qFormat/>
    <w:rsid w:val="007833BE"/>
    <w:pPr>
      <w:ind w:left="1296"/>
    </w:pPr>
  </w:style>
  <w:style w:type="paragraph" w:styleId="BalloonText">
    <w:name w:val="Balloon Text"/>
    <w:basedOn w:val="Normal"/>
    <w:link w:val="BalloonTextChar"/>
    <w:uiPriority w:val="99"/>
    <w:semiHidden/>
    <w:unhideWhenUsed/>
    <w:rsid w:val="00783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33BE"/>
    <w:rPr>
      <w:b/>
      <w:bCs/>
    </w:rPr>
  </w:style>
  <w:style w:type="character" w:customStyle="1" w:styleId="CommentSubjectChar">
    <w:name w:val="Comment Subject Char"/>
    <w:basedOn w:val="CommentTextChar"/>
    <w:link w:val="CommentSubject"/>
    <w:uiPriority w:val="99"/>
    <w:semiHidden/>
    <w:rsid w:val="007833BE"/>
    <w:rPr>
      <w:b/>
      <w:bCs/>
      <w:sz w:val="20"/>
      <w:szCs w:val="20"/>
    </w:rPr>
  </w:style>
  <w:style w:type="paragraph" w:styleId="Header">
    <w:name w:val="header"/>
    <w:basedOn w:val="Normal"/>
    <w:link w:val="HeaderChar"/>
    <w:uiPriority w:val="99"/>
    <w:unhideWhenUsed/>
    <w:rsid w:val="009B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80C"/>
  </w:style>
  <w:style w:type="paragraph" w:styleId="Footer">
    <w:name w:val="footer"/>
    <w:basedOn w:val="Normal"/>
    <w:link w:val="FooterChar"/>
    <w:uiPriority w:val="99"/>
    <w:unhideWhenUsed/>
    <w:rsid w:val="009B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80C"/>
  </w:style>
  <w:style w:type="paragraph" w:styleId="Revision">
    <w:name w:val="Revision"/>
    <w:hidden/>
    <w:uiPriority w:val="99"/>
    <w:semiHidden/>
    <w:rsid w:val="006B61AC"/>
    <w:pPr>
      <w:spacing w:after="0" w:line="240" w:lineRule="auto"/>
    </w:pPr>
  </w:style>
  <w:style w:type="character" w:styleId="Strong">
    <w:name w:val="Strong"/>
    <w:basedOn w:val="DefaultParagraphFont"/>
    <w:uiPriority w:val="22"/>
    <w:qFormat/>
    <w:rsid w:val="00F3750E"/>
    <w:rPr>
      <w:b/>
      <w:bCs/>
    </w:rPr>
  </w:style>
  <w:style w:type="character" w:styleId="Hyperlink">
    <w:name w:val="Hyperlink"/>
    <w:basedOn w:val="DefaultParagraphFont"/>
    <w:uiPriority w:val="99"/>
    <w:semiHidden/>
    <w:unhideWhenUsed/>
    <w:rsid w:val="00F37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9402">
      <w:bodyDiv w:val="1"/>
      <w:marLeft w:val="0"/>
      <w:marRight w:val="0"/>
      <w:marTop w:val="0"/>
      <w:marBottom w:val="0"/>
      <w:divBdr>
        <w:top w:val="none" w:sz="0" w:space="0" w:color="auto"/>
        <w:left w:val="none" w:sz="0" w:space="0" w:color="auto"/>
        <w:bottom w:val="none" w:sz="0" w:space="0" w:color="auto"/>
        <w:right w:val="none" w:sz="0" w:space="0" w:color="auto"/>
      </w:divBdr>
    </w:div>
    <w:div w:id="20025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B1DBBAA93DA04781335FB351515346" ma:contentTypeVersion="15" ma:contentTypeDescription="Create a new document." ma:contentTypeScope="" ma:versionID="8e6d696cff84d07636c2f4232c644af2">
  <xsd:schema xmlns:xsd="http://www.w3.org/2001/XMLSchema" xmlns:xs="http://www.w3.org/2001/XMLSchema" xmlns:p="http://schemas.microsoft.com/office/2006/metadata/properties" xmlns:ns2="abd998a3-32c0-4e13-b11e-eb9fb25cb66b" xmlns:ns3="d538feb8-59c2-4eac-8129-756b27191a5c" targetNamespace="http://schemas.microsoft.com/office/2006/metadata/properties" ma:root="true" ma:fieldsID="3f285b4ff1a08f20f7d27d61f09dd6ae" ns2:_="" ns3:_="">
    <xsd:import namespace="abd998a3-32c0-4e13-b11e-eb9fb25cb66b"/>
    <xsd:import namespace="d538feb8-59c2-4eac-8129-756b27191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998a3-32c0-4e13-b11e-eb9fb25cb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8feb8-59c2-4eac-8129-756b27191a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08C7E-B0CA-4C6E-8A46-61E3F4706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149EE5-5F5D-48DA-A09B-E0AC9EB03125}">
  <ds:schemaRefs>
    <ds:schemaRef ds:uri="http://schemas.openxmlformats.org/officeDocument/2006/bibliography"/>
  </ds:schemaRefs>
</ds:datastoreItem>
</file>

<file path=customXml/itemProps3.xml><?xml version="1.0" encoding="utf-8"?>
<ds:datastoreItem xmlns:ds="http://schemas.openxmlformats.org/officeDocument/2006/customXml" ds:itemID="{7104C0A9-A193-4D94-911E-FD9B602AF55D}">
  <ds:schemaRefs>
    <ds:schemaRef ds:uri="http://schemas.microsoft.com/sharepoint/v3/contenttype/forms"/>
  </ds:schemaRefs>
</ds:datastoreItem>
</file>

<file path=customXml/itemProps4.xml><?xml version="1.0" encoding="utf-8"?>
<ds:datastoreItem xmlns:ds="http://schemas.openxmlformats.org/officeDocument/2006/customXml" ds:itemID="{A2DA6A57-16B3-4448-A5D8-9035E541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998a3-32c0-4e13-b11e-eb9fb25cb66b"/>
    <ds:schemaRef ds:uri="d538feb8-59c2-4eac-8129-756b27191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2071</Words>
  <Characters>11811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dpcdloaner</dc:creator>
  <cp:keywords/>
  <dc:description/>
  <cp:lastModifiedBy>Maureen Fisher</cp:lastModifiedBy>
  <cp:revision>2</cp:revision>
  <cp:lastPrinted>2021-06-11T12:21:00Z</cp:lastPrinted>
  <dcterms:created xsi:type="dcterms:W3CDTF">2021-06-11T12:24:00Z</dcterms:created>
  <dcterms:modified xsi:type="dcterms:W3CDTF">2021-06-11T12:24:00Z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0x010100DCB1DBBAA93DA04781335FB351515346</vt:lpwstr>
  </property>
</Properties>
</file>